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i w:val="0"/>
          <w:color w:val="B8922E"/>
          <w:sz w:val="20"/>
        </w:rPr>
        <w:t>EDITABLE RESOURCE</w:t>
      </w:r>
    </w:p>
    <w:p>
      <w:pPr>
        <w:spacing w:after="120"/>
      </w:pPr>
      <w:r>
        <w:rPr>
          <w:rFonts w:ascii="Calibri" w:hAnsi="Calibri"/>
          <w:b/>
          <w:i w:val="0"/>
          <w:color w:val="171717"/>
          <w:sz w:val="48"/>
        </w:rPr>
        <w:t>School Assessment Policy Template</w:t>
      </w:r>
    </w:p>
    <w:p>
      <w:pPr>
        <w:spacing w:after="360"/>
      </w:pPr>
      <w:r>
        <w:rPr>
          <w:rFonts w:ascii="Calibri" w:hAnsi="Calibri"/>
          <w:b w:val="0"/>
          <w:i w:val="0"/>
          <w:color w:val="666666"/>
          <w:sz w:val="24"/>
        </w:rPr>
        <w:t>A practical editable framework for consistent, fair and learning-focused assessment.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B8922E"/>
                <w:sz w:val="21"/>
              </w:rPr>
              <w:t xml:space="preserve">How to use: </w:t>
            </w:r>
            <w:r>
              <w:rPr>
                <w:rFonts w:ascii="Calibri" w:hAnsi="Calibri"/>
                <w:b w:val="0"/>
                <w:i w:val="0"/>
                <w:color w:val="171717"/>
                <w:sz w:val="21"/>
              </w:rPr>
              <w:t>Adapt the bracketed fields to your school, consult stakeholders, approve the policy through the proper governance process and review it annually.</w:t>
            </w:r>
          </w:p>
        </w:tc>
      </w:tr>
    </w:tbl>
    <w:p/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School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  <w:t>[School name]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Policy owner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  <w:t>[Role / department]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Approved by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  <w:t>[Governing body]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Effective from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  <w:t>[Date]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Review date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  <w:t>[Date]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Applies to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  <w:t>[Grades / programmes]</w:t>
            </w:r>
          </w:p>
        </w:tc>
      </w:tr>
    </w:tbl>
    <w:p>
      <w:pPr>
        <w:pStyle w:val="Heading1"/>
      </w:pPr>
      <w:r>
        <w:t>1. Purpose</w:t>
      </w:r>
    </w:p>
    <w:p>
      <w:r>
        <w:t>This policy establishes how assessment will support learning, measure achievement, guide teaching, communicate progress and maintain fairness across the school.</w:t>
      </w:r>
    </w:p>
    <w:p>
      <w:pPr>
        <w:pStyle w:val="Heading1"/>
      </w:pPr>
      <w:r>
        <w:t>2. Guiding Principles</w:t>
      </w:r>
    </w:p>
    <w:p>
      <w:pPr>
        <w:pStyle w:val="ListBullet"/>
      </w:pPr>
      <w:r>
        <w:t>Assessment is aligned with curriculum standards and intended learning outcomes.</w:t>
      </w:r>
    </w:p>
    <w:p>
      <w:pPr>
        <w:pStyle w:val="ListBullet"/>
      </w:pPr>
      <w:r>
        <w:t>Students understand learning goals, success criteria and assessment expectations.</w:t>
      </w:r>
    </w:p>
    <w:p>
      <w:pPr>
        <w:pStyle w:val="ListBullet"/>
      </w:pPr>
      <w:r>
        <w:t>Teachers use diagnostic, formative and summative evidence for different purposes.</w:t>
      </w:r>
    </w:p>
    <w:p>
      <w:pPr>
        <w:pStyle w:val="ListBullet"/>
      </w:pPr>
      <w:r>
        <w:t>Assessment is inclusive, age-appropriate, reliable and free from avoidable bias.</w:t>
      </w:r>
    </w:p>
    <w:p>
      <w:pPr>
        <w:pStyle w:val="ListBullet"/>
      </w:pPr>
      <w:r>
        <w:t>Feedback is timely, specific and usable.</w:t>
      </w:r>
    </w:p>
    <w:p>
      <w:pPr>
        <w:pStyle w:val="ListBullet"/>
      </w:pPr>
      <w:r>
        <w:t>Professional judgement is strengthened through moderation and review.</w:t>
      </w:r>
    </w:p>
    <w:p>
      <w:r>
        <w:br w:type="page"/>
      </w:r>
    </w:p>
    <w:p>
      <w:pPr>
        <w:pStyle w:val="Heading1"/>
      </w:pPr>
      <w:r>
        <w:t>3. Assessment Framework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500"/>
        <w:gridCol w:w="2800"/>
        <w:gridCol w:w="3100"/>
        <w:gridCol w:w="1960"/>
      </w:tblGrid>
      <w:t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Assessment type</w:t>
            </w:r>
          </w:p>
        </w:tc>
        <w:tc>
          <w:tcPr>
            <w:tcW w:type="dxa" w:w="2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Purpose</w:t>
            </w:r>
          </w:p>
        </w:tc>
        <w:tc>
          <w:tcPr>
            <w:tcW w:type="dxa" w:w="3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Examples</w:t>
            </w:r>
          </w:p>
        </w:tc>
        <w:tc>
          <w:tcPr>
            <w:tcW w:type="dxa" w:w="1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Frequency</w:t>
            </w:r>
          </w:p>
        </w:tc>
      </w:tr>
      <w:tr>
        <w:tc>
          <w:tcPr>
            <w:tcW w:type="dxa" w:w="15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Diagnostic</w:t>
            </w:r>
          </w:p>
        </w:tc>
        <w:tc>
          <w:tcPr>
            <w:tcW w:type="dxa" w:w="28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Identify prior knowledge and misconceptions</w:t>
            </w:r>
          </w:p>
        </w:tc>
        <w:tc>
          <w:tcPr>
            <w:tcW w:type="dxa" w:w="31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Entry task, baseline, interview</w:t>
            </w:r>
          </w:p>
        </w:tc>
        <w:tc>
          <w:tcPr>
            <w:tcW w:type="dxa" w:w="19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Before a unit or intervention</w:t>
            </w:r>
          </w:p>
        </w:tc>
      </w:tr>
      <w:tr>
        <w:tc>
          <w:tcPr>
            <w:tcW w:type="dxa" w:w="1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Formative</w:t>
            </w:r>
          </w:p>
        </w:tc>
        <w:tc>
          <w:tcPr>
            <w:tcW w:type="dxa" w:w="2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Guide next teaching and student improvement</w:t>
            </w:r>
          </w:p>
        </w:tc>
        <w:tc>
          <w:tcPr>
            <w:tcW w:type="dxa" w:w="31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Questioning, exit ticket, draft feedback</w:t>
            </w:r>
          </w:p>
        </w:tc>
        <w:tc>
          <w:tcPr>
            <w:tcW w:type="dxa" w:w="19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Ongoing</w:t>
            </w:r>
          </w:p>
        </w:tc>
      </w:tr>
      <w:tr>
        <w:tc>
          <w:tcPr>
            <w:tcW w:type="dxa" w:w="15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Summative</w:t>
            </w:r>
          </w:p>
        </w:tc>
        <w:tc>
          <w:tcPr>
            <w:tcW w:type="dxa" w:w="28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Evaluate achievement against standards</w:t>
            </w:r>
          </w:p>
        </w:tc>
        <w:tc>
          <w:tcPr>
            <w:tcW w:type="dxa" w:w="31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Performance task, examination, project</w:t>
            </w:r>
          </w:p>
        </w:tc>
        <w:tc>
          <w:tcPr>
            <w:tcW w:type="dxa" w:w="19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At defined reporting points</w:t>
            </w:r>
          </w:p>
        </w:tc>
      </w:tr>
      <w:tr>
        <w:tc>
          <w:tcPr>
            <w:tcW w:type="dxa" w:w="1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Self and peer</w:t>
            </w:r>
          </w:p>
        </w:tc>
        <w:tc>
          <w:tcPr>
            <w:tcW w:type="dxa" w:w="2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Build reflection and assessment literacy</w:t>
            </w:r>
          </w:p>
        </w:tc>
        <w:tc>
          <w:tcPr>
            <w:tcW w:type="dxa" w:w="31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Checklist, rubric review, conference</w:t>
            </w:r>
          </w:p>
        </w:tc>
        <w:tc>
          <w:tcPr>
            <w:tcW w:type="dxa" w:w="19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Regularly and with guidance</w:t>
            </w:r>
          </w:p>
        </w:tc>
      </w:tr>
    </w:tbl>
    <w:p>
      <w:pPr>
        <w:pStyle w:val="Heading1"/>
      </w:pPr>
      <w:r>
        <w:t>4. Planning and Design Requirements</w:t>
      </w:r>
    </w:p>
    <w:p>
      <w:pPr>
        <w:pStyle w:val="ListBullet"/>
      </w:pPr>
      <w:r>
        <w:t>Specify intended learning outcomes and success criteria.</w:t>
      </w:r>
    </w:p>
    <w:p>
      <w:pPr>
        <w:pStyle w:val="ListBullet"/>
      </w:pPr>
      <w:r>
        <w:t>Select an assessment method suitable for the knowledge, skill or understanding being assessed.</w:t>
      </w:r>
    </w:p>
    <w:p>
      <w:pPr>
        <w:pStyle w:val="ListBullet"/>
      </w:pPr>
      <w:r>
        <w:t>Provide reasonable access arrangements without changing the intended standard.</w:t>
      </w:r>
    </w:p>
    <w:p>
      <w:pPr>
        <w:pStyle w:val="ListBullet"/>
      </w:pPr>
      <w:r>
        <w:t>Use clear instructions, mark schemes or rubrics.</w:t>
      </w:r>
    </w:p>
    <w:p>
      <w:pPr>
        <w:pStyle w:val="ListBullet"/>
      </w:pPr>
      <w:r>
        <w:t>Check workload, timing and duplication across subjects.</w:t>
      </w:r>
    </w:p>
    <w:p>
      <w:pPr>
        <w:pStyle w:val="ListBullet"/>
      </w:pPr>
      <w:r>
        <w:t>Review cultural, linguistic and accessibility considerations.</w:t>
      </w:r>
    </w:p>
    <w:p>
      <w:pPr>
        <w:pStyle w:val="Heading1"/>
      </w:pPr>
      <w:r>
        <w:t>5. Feedback and Student Response</w:t>
      </w:r>
    </w:p>
    <w:p>
      <w:r>
        <w:rPr>
          <w:rFonts w:ascii="Calibri" w:hAnsi="Calibri"/>
          <w:b/>
          <w:i w:val="0"/>
          <w:color w:val="171717"/>
          <w:sz w:val="22"/>
        </w:rPr>
        <w:t>Expected feedback timeframe: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How students will act on feedback: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How reassessment or correction will be handled: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br w:type="page"/>
      </w:r>
    </w:p>
    <w:p>
      <w:pPr>
        <w:pStyle w:val="Heading1"/>
      </w:pPr>
      <w:r>
        <w:t>6. Moderation and Quality Assurance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100"/>
        <w:gridCol w:w="1700"/>
        <w:gridCol w:w="3160"/>
        <w:gridCol w:w="2400"/>
      </w:tblGrid>
      <w:t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Process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Responsible</w:t>
            </w:r>
          </w:p>
        </w:tc>
        <w:tc>
          <w:tcPr>
            <w:tcW w:type="dxa" w:w="3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Evidence retained</w:t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Timing</w:t>
            </w:r>
          </w:p>
        </w:tc>
      </w:tr>
      <w:tr>
        <w:tc>
          <w:tcPr>
            <w:tcW w:type="dxa" w:w="21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Task review</w:t>
            </w:r>
          </w:p>
        </w:tc>
        <w:tc>
          <w:tcPr>
            <w:tcW w:type="dxa" w:w="1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[Role]</w:t>
            </w:r>
          </w:p>
        </w:tc>
        <w:tc>
          <w:tcPr>
            <w:tcW w:type="dxa" w:w="31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Task, rubric, sample responses</w:t>
            </w:r>
          </w:p>
        </w:tc>
        <w:tc>
          <w:tcPr>
            <w:tcW w:type="dxa" w:w="24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Before use</w:t>
            </w:r>
          </w:p>
        </w:tc>
      </w:tr>
      <w:tr>
        <w:tc>
          <w:tcPr>
            <w:tcW w:type="dxa" w:w="21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Standardisation</w:t>
            </w:r>
          </w:p>
        </w:tc>
        <w:tc>
          <w:tcPr>
            <w:tcW w:type="dxa" w:w="1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[Role/team]</w:t>
            </w:r>
          </w:p>
        </w:tc>
        <w:tc>
          <w:tcPr>
            <w:tcW w:type="dxa" w:w="31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Annotated exemplars</w:t>
            </w:r>
          </w:p>
        </w:tc>
        <w:tc>
          <w:tcPr>
            <w:tcW w:type="dxa" w:w="2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Before marking</w:t>
            </w:r>
          </w:p>
        </w:tc>
      </w:tr>
      <w:tr>
        <w:tc>
          <w:tcPr>
            <w:tcW w:type="dxa" w:w="21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Moderation</w:t>
            </w:r>
          </w:p>
        </w:tc>
        <w:tc>
          <w:tcPr>
            <w:tcW w:type="dxa" w:w="1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[Role/team]</w:t>
            </w:r>
          </w:p>
        </w:tc>
        <w:tc>
          <w:tcPr>
            <w:tcW w:type="dxa" w:w="31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Sample work and decisions</w:t>
            </w:r>
          </w:p>
        </w:tc>
        <w:tc>
          <w:tcPr>
            <w:tcW w:type="dxa" w:w="24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During/after marking</w:t>
            </w:r>
          </w:p>
        </w:tc>
      </w:tr>
      <w:tr>
        <w:tc>
          <w:tcPr>
            <w:tcW w:type="dxa" w:w="21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Data review</w:t>
            </w:r>
          </w:p>
        </w:tc>
        <w:tc>
          <w:tcPr>
            <w:tcW w:type="dxa" w:w="1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[Leadership]</w:t>
            </w:r>
          </w:p>
        </w:tc>
        <w:tc>
          <w:tcPr>
            <w:tcW w:type="dxa" w:w="31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Patterns, actions, follow-up</w:t>
            </w:r>
          </w:p>
        </w:tc>
        <w:tc>
          <w:tcPr>
            <w:tcW w:type="dxa" w:w="2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Each reporting cycle</w:t>
            </w:r>
          </w:p>
        </w:tc>
      </w:tr>
    </w:tbl>
    <w:p>
      <w:pPr>
        <w:pStyle w:val="Heading1"/>
      </w:pPr>
      <w:r>
        <w:t>7. Recording, Reporting and Data Use</w:t>
      </w:r>
    </w:p>
    <w:p>
      <w:r>
        <w:rPr>
          <w:rFonts w:ascii="Calibri" w:hAnsi="Calibri"/>
          <w:b/>
          <w:i w:val="0"/>
          <w:color w:val="171717"/>
          <w:sz w:val="22"/>
        </w:rPr>
        <w:t>Approved recording system and access rules: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Reporting schedule and formats: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How assessment data will inform teaching, support and enrichment: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pStyle w:val="Heading1"/>
      </w:pPr>
      <w:r>
        <w:t>8. Academic Integrity</w:t>
      </w:r>
    </w:p>
    <w:p>
      <w:r>
        <w:t>The school will explicitly teach appropriate collaboration, citation, independent work and responsible use of digital and AI tools. Suspected breaches will be addressed through an age-appropriate, evidence-based process.</w:t>
      </w:r>
    </w:p>
    <w:p>
      <w:pPr>
        <w:pStyle w:val="Heading1"/>
      </w:pPr>
      <w:r>
        <w:t>9. Roles and Responsibilities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200"/>
        <w:gridCol w:w="7160"/>
      </w:tblGrid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Role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Core responsibility</w:t>
            </w:r>
          </w:p>
        </w:tc>
      </w:tr>
      <w:tr>
        <w:tc>
          <w:tcPr>
            <w:tcW w:type="dxa" w:w="2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School leadership</w:t>
            </w:r>
          </w:p>
        </w:tc>
        <w:tc>
          <w:tcPr>
            <w:tcW w:type="dxa" w:w="71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Approve, resource, monitor and review the assessment system.</w:t>
            </w:r>
          </w:p>
        </w:tc>
      </w:tr>
      <w:tr>
        <w:tc>
          <w:tcPr>
            <w:tcW w:type="dxa" w:w="2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Academic leaders</w:t>
            </w:r>
          </w:p>
        </w:tc>
        <w:tc>
          <w:tcPr>
            <w:tcW w:type="dxa" w:w="71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Coordinate planning, moderation, data review and support.</w:t>
            </w:r>
          </w:p>
        </w:tc>
      </w:tr>
      <w:tr>
        <w:tc>
          <w:tcPr>
            <w:tcW w:type="dxa" w:w="2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Teachers</w:t>
            </w:r>
          </w:p>
        </w:tc>
        <w:tc>
          <w:tcPr>
            <w:tcW w:type="dxa" w:w="71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Design, administer, assess, give feedback and maintain records.</w:t>
            </w:r>
          </w:p>
        </w:tc>
      </w:tr>
      <w:tr>
        <w:tc>
          <w:tcPr>
            <w:tcW w:type="dxa" w:w="2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Students</w:t>
            </w:r>
          </w:p>
        </w:tc>
        <w:tc>
          <w:tcPr>
            <w:tcW w:type="dxa" w:w="71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Understand criteria, submit authentic work and use feedback.</w:t>
            </w:r>
          </w:p>
        </w:tc>
      </w:tr>
      <w:tr>
        <w:tc>
          <w:tcPr>
            <w:tcW w:type="dxa" w:w="2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Parents</w:t>
            </w:r>
          </w:p>
        </w:tc>
        <w:tc>
          <w:tcPr>
            <w:tcW w:type="dxa" w:w="71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Support routines and communicate concerns without completing work.</w:t>
            </w:r>
          </w:p>
        </w:tc>
      </w:tr>
    </w:tbl>
    <w:p>
      <w:pPr>
        <w:pStyle w:val="Heading1"/>
      </w:pPr>
      <w:r>
        <w:t>10. Inclusion and Access Arrangements</w:t>
      </w:r>
    </w:p>
    <w:p>
      <w:r>
        <w:rPr>
          <w:rFonts w:ascii="Calibri" w:hAnsi="Calibri"/>
          <w:b/>
          <w:i w:val="0"/>
          <w:color w:val="171717"/>
          <w:sz w:val="22"/>
        </w:rPr>
        <w:t>Available access arrangements and approval process: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How evidence and confidentiality will be maintained: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pStyle w:val="Heading1"/>
      </w:pPr>
      <w:r>
        <w:t>11. Appeals and Concerns</w:t>
      </w:r>
    </w:p>
    <w:p>
      <w:r>
        <w:rPr>
          <w:rFonts w:ascii="Calibri" w:hAnsi="Calibri"/>
          <w:b/>
          <w:i w:val="0"/>
          <w:color w:val="171717"/>
          <w:sz w:val="22"/>
        </w:rPr>
        <w:t>First point of contact: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Review and escalation process: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Expected response timeline: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pStyle w:val="Heading1"/>
      </w:pPr>
      <w:r>
        <w:t>12. Monitoring and Review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650"/>
        <w:gridCol w:w="2600"/>
        <w:gridCol w:w="3110"/>
      </w:tblGrid>
      <w:tr>
        <w:tc>
          <w:tcPr>
            <w:tcW w:type="dxa" w:w="3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Review question</w:t>
            </w:r>
          </w:p>
        </w:tc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Evidence</w:t>
            </w:r>
          </w:p>
        </w:tc>
        <w:tc>
          <w:tcPr>
            <w:tcW w:type="dxa" w:w="31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Finding / action</w:t>
            </w:r>
          </w:p>
        </w:tc>
      </w:tr>
      <w:tr>
        <w:tc>
          <w:tcPr>
            <w:tcW w:type="dxa" w:w="365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Is assessment aligned and appropriately demanding?</w:t>
            </w:r>
          </w:p>
        </w:tc>
        <w:tc>
          <w:tcPr>
            <w:tcW w:type="dxa" w:w="26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Plans, tasks, rubrics</w:t>
            </w:r>
          </w:p>
        </w:tc>
        <w:tc>
          <w:tcPr>
            <w:tcW w:type="dxa" w:w="311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36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Is feedback improving student work?</w:t>
            </w:r>
          </w:p>
        </w:tc>
        <w:tc>
          <w:tcPr>
            <w:tcW w:type="dxa" w:w="26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Work samples, student voice</w:t>
            </w:r>
          </w:p>
        </w:tc>
        <w:tc>
          <w:tcPr>
            <w:tcW w:type="dxa" w:w="311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365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Are judgements consistent?</w:t>
            </w:r>
          </w:p>
        </w:tc>
        <w:tc>
          <w:tcPr>
            <w:tcW w:type="dxa" w:w="26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Moderation records</w:t>
            </w:r>
          </w:p>
        </w:tc>
        <w:tc>
          <w:tcPr>
            <w:tcW w:type="dxa" w:w="311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36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Are workload and wellbeing reasonable?</w:t>
            </w:r>
          </w:p>
        </w:tc>
        <w:tc>
          <w:tcPr>
            <w:tcW w:type="dxa" w:w="26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Calendar, surveys, concerns</w:t>
            </w:r>
          </w:p>
        </w:tc>
        <w:tc>
          <w:tcPr>
            <w:tcW w:type="dxa" w:w="311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365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Are groups experiencing unequal outcomes?</w:t>
            </w:r>
          </w:p>
        </w:tc>
        <w:tc>
          <w:tcPr>
            <w:tcW w:type="dxa" w:w="26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Disaggregated data</w:t>
            </w:r>
          </w:p>
        </w:tc>
        <w:tc>
          <w:tcPr>
            <w:tcW w:type="dxa" w:w="311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</w:tbl>
    <w:p>
      <w:pPr>
        <w:pStyle w:val="Heading1"/>
      </w:pPr>
      <w:r>
        <w:t>Approval Record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Prepared by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Reviewed by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Approved by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Approval date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Next review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</w:tbl>
    <w:p>
      <w:pPr>
        <w:pStyle w:val="Heading1"/>
      </w:pPr>
      <w:r>
        <w:t>Policy Change Log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200"/>
        <w:gridCol w:w="1500"/>
        <w:gridCol w:w="4560"/>
        <w:gridCol w:w="2100"/>
      </w:tblGrid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Version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Date</w:t>
            </w:r>
          </w:p>
        </w:tc>
        <w:tc>
          <w:tcPr>
            <w:tcW w:type="dxa" w:w="4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Change made</w:t>
            </w:r>
          </w:p>
        </w:tc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Approved by</w:t>
            </w:r>
          </w:p>
        </w:tc>
      </w:tr>
      <w:tr>
        <w:tc>
          <w:tcPr>
            <w:tcW w:type="dxa" w:w="1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5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45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1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45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1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5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45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1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45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1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5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45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1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52" w:right="1152" w:bottom="1152" w:left="1152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666666"/>
        <w:sz w:val="17"/>
      </w:rPr>
      <w:t>dranupsharma.com  |  Free for educational use with attribution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666666"/>
        <w:sz w:val="17"/>
      </w:rPr>
      <w:t>DR ANUP SHARMA  |  PRACTICAL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color w:val="17171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8922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8922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171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