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1030"/>
      </w:tblGrid>
      <w:tr>
        <w:tc>
          <w:tcPr>
            <w:tcW w:type="dxa" w:w="11030"/>
            <w:shd w:fill="17324D"/>
            <w:tcMar>
              <w:top w:w="90" w:type="dxa"/>
              <w:bottom w:w="90" w:type="dxa"/>
              <w:start w:w="10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TEACHER INDUCTION CHECKLIST</w:t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Before joining / Day 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Role, reporting line and timetable confirmed.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Safeguarding, emergency and child-protection procedures understood.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School values and professional expectations explained.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Curriculum, assessment and planning expectations accessible.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Technology, attendance and communication systems set up.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Key behaviour, homework, inclusion, data/privacy policies reviewed.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First 30 days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Mentor/buddy assigned.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Planning expectations demonstrated.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School routines observed and practised.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Developmental observation and feedback completed.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Teacher observes a strong colleague where useful.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Professional goals and support needs identified.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30-90 days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Progress against induction goals reviewed.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Student learning evidence and routines reviewed.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Additional coaching/PD arranged if needed.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Teacher feedback on induction collected.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Induction closed or extended with a clear plan.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461" w:right="605" w:bottom="504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3"/>
      </w:rPr>
      <w:t>dranupsharma.com • Editable 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3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7324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