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Teacher Absence SOP</w:t>
      </w:r>
    </w:p>
    <w:p>
      <w:r>
        <w:rPr>
          <w:b/>
          <w:sz w:val="22"/>
        </w:rPr>
        <w:t>Notification, cover planning, lesson handover and academic continuity</w:t>
      </w:r>
    </w:p>
    <w:p>
      <w:r>
        <w:rPr>
          <w:i/>
          <w:sz w:val="18"/>
        </w:rPr>
        <w:t>Adapt this document to your school context, governing-board requirements, local law, safeguarding expectations and regulatory requirements before adoption.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shd w:fill="EDE7DB"/>
            <w:vAlign w:val="center"/>
          </w:tcPr>
          <w:p>
            <w:r>
              <w:t>Document code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Version</w:t>
            </w:r>
          </w:p>
        </w:tc>
        <w:tc>
          <w:tcPr>
            <w:tcW w:type="dxa" w:w="5112"/>
          </w:tcPr>
          <w:p>
            <w:r>
              <w:t>1.0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Effective date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Review date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Approved by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Process owner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</w:tbl>
    <w:p/>
    <w:p>
      <w:pPr>
        <w:pStyle w:val="Heading1"/>
      </w:pPr>
      <w:r>
        <w:t>Purpose</w:t>
      </w:r>
    </w:p>
    <w:p>
      <w:r>
        <w:t>To ensure teacher absence is communicated promptly and student learning continues with minimum disruption.</w:t>
      </w:r>
    </w:p>
    <w:p>
      <w:pPr>
        <w:pStyle w:val="Heading1"/>
      </w:pPr>
      <w:r>
        <w:t>Scope</w:t>
      </w:r>
    </w:p>
    <w:p>
      <w:r>
        <w:t>Applies to planned and unplanned teacher absence.</w:t>
      </w:r>
    </w:p>
    <w:p>
      <w:pPr>
        <w:pStyle w:val="Heading1"/>
      </w:pPr>
      <w:r>
        <w:t>Responsibilities</w:t>
      </w:r>
    </w:p>
    <w:p>
      <w:pPr>
        <w:pStyle w:val="ListBullet"/>
      </w:pPr>
      <w:r>
        <w:t>Teacher reports absence through the approved channel.</w:t>
      </w:r>
    </w:p>
    <w:p>
      <w:pPr>
        <w:pStyle w:val="ListBullet"/>
      </w:pPr>
      <w:r>
        <w:t>Coordinator arranges cover.</w:t>
      </w:r>
    </w:p>
    <w:p>
      <w:pPr>
        <w:pStyle w:val="ListBullet"/>
      </w:pPr>
      <w:r>
        <w:t>Department/grade lead ensures appropriate learning material.</w:t>
      </w:r>
    </w:p>
    <w:p>
      <w:pPr>
        <w:pStyle w:val="ListBullet"/>
      </w:pPr>
      <w:r>
        <w:t>Administration records absence under HR procedure.</w:t>
      </w:r>
    </w:p>
    <w:p>
      <w:pPr>
        <w:pStyle w:val="Heading1"/>
      </w:pPr>
      <w:r>
        <w:t>Procedure</w:t>
      </w:r>
    </w:p>
    <w:p>
      <w:pPr>
        <w:pStyle w:val="ListNumber"/>
      </w:pPr>
      <w:r>
        <w:t>Notify the designated person as early as possible using the approved absence channel.</w:t>
      </w:r>
    </w:p>
    <w:p>
      <w:pPr>
        <w:pStyle w:val="ListNumber"/>
      </w:pPr>
      <w:r>
        <w:t>Provide likely duration and any urgent class information without disclosing unnecessary medical detail.</w:t>
      </w:r>
    </w:p>
    <w:p>
      <w:pPr>
        <w:pStyle w:val="ListNumber"/>
      </w:pPr>
      <w:r>
        <w:t>Share lesson plans/resources where reasonably possible.</w:t>
      </w:r>
    </w:p>
    <w:p>
      <w:pPr>
        <w:pStyle w:val="ListNumber"/>
      </w:pPr>
      <w:r>
        <w:t>Coordinator assigns suitable cover and communicates timetable changes.</w:t>
      </w:r>
    </w:p>
    <w:p>
      <w:pPr>
        <w:pStyle w:val="ListNumber"/>
      </w:pPr>
      <w:r>
        <w:t>Cover teacher records progress and issues requiring follow-up.</w:t>
      </w:r>
    </w:p>
    <w:p>
      <w:pPr>
        <w:pStyle w:val="ListNumber"/>
      </w:pPr>
      <w:r>
        <w:t>On return, regular teacher reviews learning continuity and outstanding actions.</w:t>
      </w:r>
    </w:p>
    <w:p>
      <w:pPr>
        <w:pStyle w:val="Heading1"/>
      </w:pPr>
      <w:r>
        <w:t>Controls</w:t>
      </w:r>
    </w:p>
    <w:p>
      <w:pPr>
        <w:pStyle w:val="ListBullet"/>
      </w:pPr>
      <w:r>
        <w:t>Do not use informal messaging as the only absence record unless explicitly authorised.</w:t>
      </w:r>
    </w:p>
    <w:p>
      <w:pPr>
        <w:pStyle w:val="ListBullet"/>
      </w:pPr>
      <w:r>
        <w:t>Student safeguarding/medical information must be accessible to cover staff on a need-to-know basis.</w:t>
      </w:r>
    </w:p>
    <w:p>
      <w:pPr>
        <w:pStyle w:val="ListBullet"/>
      </w:pPr>
      <w:r>
        <w:t>Repeated or extended absence follows HR policy separately.</w:t>
      </w:r>
    </w:p>
    <w:p>
      <w:pPr>
        <w:pStyle w:val="Heading1"/>
      </w:pPr>
      <w:r>
        <w:t>Records</w:t>
      </w:r>
    </w:p>
    <w:p>
      <w:pPr>
        <w:pStyle w:val="ListBullet"/>
      </w:pPr>
      <w:r>
        <w:t>Absence notification</w:t>
      </w:r>
    </w:p>
    <w:p>
      <w:pPr>
        <w:pStyle w:val="ListBullet"/>
      </w:pPr>
      <w:r>
        <w:t>Cover allocation</w:t>
      </w:r>
    </w:p>
    <w:p>
      <w:pPr>
        <w:pStyle w:val="ListBullet"/>
      </w:pPr>
      <w:r>
        <w:t>Lesson handover</w:t>
      </w:r>
    </w:p>
    <w:p>
      <w:pPr>
        <w:pStyle w:val="ListBullet"/>
      </w:pPr>
      <w:r>
        <w:t>Return/follow-up record where required</w:t>
      </w:r>
    </w:p>
    <w:p>
      <w:pPr>
        <w:pStyle w:val="Heading1"/>
      </w:pPr>
      <w:r>
        <w:t>Approval and Review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rPr>
          <w:tblHeader w:val="true"/>
        </w:trPr>
        <w:tc>
          <w:tcPr>
            <w:tcW w:type="dxa" w:w="2556"/>
            <w:shd w:fill="D9EAD3"/>
          </w:tcPr>
          <w:p>
            <w:r>
              <w:t>Role</w:t>
            </w:r>
          </w:p>
        </w:tc>
        <w:tc>
          <w:tcPr>
            <w:tcW w:type="dxa" w:w="2556"/>
            <w:shd w:fill="D9EAD3"/>
          </w:tcPr>
          <w:p>
            <w:r>
              <w:t>Name</w:t>
            </w:r>
          </w:p>
        </w:tc>
        <w:tc>
          <w:tcPr>
            <w:tcW w:type="dxa" w:w="2556"/>
            <w:shd w:fill="D9EAD3"/>
          </w:tcPr>
          <w:p>
            <w:r>
              <w:t>Signature</w:t>
            </w:r>
          </w:p>
        </w:tc>
        <w:tc>
          <w:tcPr>
            <w:tcW w:type="dxa" w:w="2556"/>
            <w:shd w:fill="D9EAD3"/>
          </w:tcPr>
          <w:p>
            <w:r>
              <w:t>Date</w:t>
            </w:r>
          </w:p>
        </w:tc>
      </w:tr>
      <w:tr>
        <w:tc>
          <w:tcPr>
            <w:tcW w:type="dxa" w:w="2556"/>
          </w:tcPr>
          <w:p>
            <w:r>
              <w:t>Prepared by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  <w:tr>
        <w:tc>
          <w:tcPr>
            <w:tcW w:type="dxa" w:w="2556"/>
          </w:tcPr>
          <w:p>
            <w:r>
              <w:t>Reviewed by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  <w:tr>
        <w:tc>
          <w:tcPr>
            <w:tcW w:type="dxa" w:w="2556"/>
          </w:tcPr>
          <w:p>
            <w:r>
              <w:t>Approved by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</w:tbl>
    <w:p/>
    <w:p>
      <w:pPr>
        <w:pStyle w:val="Heading1"/>
      </w:pPr>
      <w:r>
        <w:t>Revision History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rPr>
          <w:tblHeader w:val="true"/>
        </w:trPr>
        <w:tc>
          <w:tcPr>
            <w:tcW w:type="dxa" w:w="2556"/>
            <w:shd w:fill="D9EAD3"/>
          </w:tcPr>
          <w:p>
            <w:r>
              <w:t>Version</w:t>
            </w:r>
          </w:p>
        </w:tc>
        <w:tc>
          <w:tcPr>
            <w:tcW w:type="dxa" w:w="2556"/>
            <w:shd w:fill="D9EAD3"/>
          </w:tcPr>
          <w:p>
            <w:r>
              <w:t>Date</w:t>
            </w:r>
          </w:p>
        </w:tc>
        <w:tc>
          <w:tcPr>
            <w:tcW w:type="dxa" w:w="2556"/>
            <w:shd w:fill="D9EAD3"/>
          </w:tcPr>
          <w:p>
            <w:r>
              <w:t>Change</w:t>
            </w:r>
          </w:p>
        </w:tc>
        <w:tc>
          <w:tcPr>
            <w:tcW w:type="dxa" w:w="2556"/>
            <w:shd w:fill="D9EAD3"/>
          </w:tcPr>
          <w:p>
            <w:r>
              <w:t>Approved by</w:t>
            </w:r>
          </w:p>
        </w:tc>
      </w:tr>
      <w:tr>
        <w:tc>
          <w:tcPr>
            <w:tcW w:type="dxa" w:w="2556"/>
          </w:tcPr>
          <w:p>
            <w:r>
              <w:t>1.0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>
              <w:t>Initial issue</w:t>
            </w:r>
          </w:p>
        </w:tc>
        <w:tc>
          <w:tcPr>
            <w:tcW w:type="dxa" w:w="2556"/>
          </w:tcPr>
          <w:p>
            <w:r/>
          </w:p>
        </w:tc>
      </w:tr>
      <w:tr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Free professional-use resource | Review and customise before adoption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sz w:val="16"/>
      </w:rPr>
      <w:t>Dr. Anup Sharma | dranupsharma.com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