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Substitute Teacher SOP</w:t>
      </w:r>
    </w:p>
    <w:p>
      <w:r>
        <w:rPr>
          <w:b/>
          <w:sz w:val="22"/>
        </w:rPr>
        <w:t>Classroom continuity, handover, safeguarding and end-of-day reporting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maintain safe, purposeful learning when the regular teacher is absent.</w:t>
      </w:r>
    </w:p>
    <w:p>
      <w:pPr>
        <w:pStyle w:val="Heading1"/>
      </w:pPr>
      <w:r>
        <w:t>Scope</w:t>
      </w:r>
    </w:p>
    <w:p>
      <w:r>
        <w:t>Applies to internal cover, substitute teachers and short-term replacement arrangements.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Coordinator assigns cover.</w:t>
      </w:r>
    </w:p>
    <w:p>
      <w:pPr>
        <w:pStyle w:val="ListBullet"/>
      </w:pPr>
      <w:r>
        <w:t>Absent teacher provides work where reasonably possible.</w:t>
      </w:r>
    </w:p>
    <w:p>
      <w:pPr>
        <w:pStyle w:val="ListBullet"/>
      </w:pPr>
      <w:r>
        <w:t>Substitute follows school routines and safeguarding expectations.</w:t>
      </w:r>
    </w:p>
    <w:p>
      <w:pPr>
        <w:pStyle w:val="ListBullet"/>
      </w:pPr>
      <w:r>
        <w:t>Coordinator resolves curriculum or behaviour escalation.</w:t>
      </w:r>
    </w:p>
    <w:p>
      <w:pPr>
        <w:pStyle w:val="Heading1"/>
      </w:pPr>
      <w:r>
        <w:t>Procedure</w:t>
      </w:r>
    </w:p>
    <w:p>
      <w:pPr>
        <w:pStyle w:val="ListNumber"/>
      </w:pPr>
      <w:r>
        <w:t>Receive timetable, class list, lesson instructions and key student information.</w:t>
      </w:r>
    </w:p>
    <w:p>
      <w:pPr>
        <w:pStyle w:val="ListNumber"/>
      </w:pPr>
      <w:r>
        <w:t>Verify attendance according to school procedure.</w:t>
      </w:r>
    </w:p>
    <w:p>
      <w:pPr>
        <w:pStyle w:val="ListNumber"/>
      </w:pPr>
      <w:r>
        <w:t>Follow planned learning objectives and avoid introducing unsupported high-risk activities.</w:t>
      </w:r>
    </w:p>
    <w:p>
      <w:pPr>
        <w:pStyle w:val="ListNumber"/>
      </w:pPr>
      <w:r>
        <w:t>Apply established classroom routines and behaviour expectations.</w:t>
      </w:r>
    </w:p>
    <w:p>
      <w:pPr>
        <w:pStyle w:val="ListNumber"/>
      </w:pPr>
      <w:r>
        <w:t>Refer medical, safeguarding or serious behaviour concerns through normal school channels.</w:t>
      </w:r>
    </w:p>
    <w:p>
      <w:pPr>
        <w:pStyle w:val="ListNumber"/>
      </w:pPr>
      <w:r>
        <w:t>Leave a concise handover note on work completed, learning issues, incidents and follow-up required.</w:t>
      </w:r>
    </w:p>
    <w:p>
      <w:pPr>
        <w:pStyle w:val="Heading1"/>
      </w:pPr>
      <w:r>
        <w:t>Records</w:t>
      </w:r>
    </w:p>
    <w:p>
      <w:pPr>
        <w:pStyle w:val="ListBullet"/>
      </w:pPr>
      <w:r>
        <w:t>Cover allocation</w:t>
      </w:r>
    </w:p>
    <w:p>
      <w:pPr>
        <w:pStyle w:val="ListBullet"/>
      </w:pPr>
      <w:r>
        <w:t>Lesson/handover notes</w:t>
      </w:r>
    </w:p>
    <w:p>
      <w:pPr>
        <w:pStyle w:val="ListBullet"/>
      </w:pPr>
      <w:r>
        <w:t>Attendance</w:t>
      </w:r>
    </w:p>
    <w:p>
      <w:pPr>
        <w:pStyle w:val="ListBullet"/>
      </w:pPr>
      <w:r>
        <w:t>Incident/referral record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