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School SOP Master Template</w:t>
      </w:r>
    </w:p>
    <w:p>
      <w:r>
        <w:rPr>
          <w:b/>
          <w:sz w:val="22"/>
        </w:rPr>
        <w:t>Reusable standard operating procedure format for schools</w:t>
      </w:r>
    </w:p>
    <w:p>
      <w:r>
        <w:rPr>
          <w:i/>
          <w:sz w:val="18"/>
        </w:rPr>
        <w:t>Adapt this document to your school context, governing-board requirements, local law, safeguarding expectations and regulatory requirements before adoption.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EDE7DB"/>
            <w:vAlign w:val="center"/>
          </w:tcPr>
          <w:p>
            <w:r>
              <w:t>Document code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Version</w:t>
            </w:r>
          </w:p>
        </w:tc>
        <w:tc>
          <w:tcPr>
            <w:tcW w:type="dxa" w:w="5112"/>
          </w:tcPr>
          <w:p>
            <w:r>
              <w:t>1.0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Effective date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Review date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Approved by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Process owner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</w:tbl>
    <w:p/>
    <w:p>
      <w:pPr>
        <w:pStyle w:val="Heading1"/>
      </w:pPr>
      <w:r>
        <w:t>Purpose</w:t>
      </w:r>
    </w:p>
    <w:p>
      <w:r>
        <w:t>State why the SOP exists and the risk, quality or consistency issue it controls.</w:t>
      </w:r>
    </w:p>
    <w:p>
      <w:pPr>
        <w:pStyle w:val="Heading1"/>
      </w:pPr>
      <w:r>
        <w:t>Scope</w:t>
      </w:r>
    </w:p>
    <w:p>
      <w:r>
        <w:t>Specify the students, staff, campuses, activities, timings and situations covered.</w:t>
      </w:r>
    </w:p>
    <w:p>
      <w:pPr>
        <w:pStyle w:val="Heading1"/>
      </w:pPr>
      <w:r>
        <w:t>Definitions</w:t>
      </w:r>
    </w:p>
    <w:p>
      <w:pPr>
        <w:pStyle w:val="ListBullet"/>
      </w:pPr>
      <w:r>
        <w:t>Define any terms that staff may interpret differently.</w:t>
      </w:r>
    </w:p>
    <w:p>
      <w:pPr>
        <w:pStyle w:val="ListBullet"/>
      </w:pPr>
      <w:r>
        <w:t>Avoid unnecessary jargon.</w:t>
      </w:r>
    </w:p>
    <w:p>
      <w:pPr>
        <w:pStyle w:val="Heading1"/>
      </w:pPr>
      <w:r>
        <w:t>Responsibilities</w:t>
      </w:r>
    </w:p>
    <w:p>
      <w:pPr>
        <w:pStyle w:val="ListBullet"/>
      </w:pPr>
      <w:r>
        <w:t>Process owner: ____________________</w:t>
      </w:r>
    </w:p>
    <w:p>
      <w:pPr>
        <w:pStyle w:val="ListBullet"/>
      </w:pPr>
      <w:r>
        <w:t>Operational roles: ____________________</w:t>
      </w:r>
    </w:p>
    <w:p>
      <w:pPr>
        <w:pStyle w:val="ListBullet"/>
      </w:pPr>
      <w:r>
        <w:t>Escalation authority: ____________________</w:t>
      </w:r>
    </w:p>
    <w:p>
      <w:pPr>
        <w:pStyle w:val="Heading1"/>
      </w:pPr>
      <w:r>
        <w:t>Procedure</w:t>
      </w:r>
    </w:p>
    <w:p>
      <w:pPr>
        <w:pStyle w:val="ListNumber"/>
      </w:pPr>
      <w:r>
        <w:t>Confirm prerequisites, duty allocation and required records before the process begins.</w:t>
      </w:r>
    </w:p>
    <w:p>
      <w:pPr>
        <w:pStyle w:val="ListNumber"/>
      </w:pPr>
      <w:r>
        <w:t>Follow the operational sequence in clear, observable steps.</w:t>
      </w:r>
    </w:p>
    <w:p>
      <w:pPr>
        <w:pStyle w:val="ListNumber"/>
      </w:pPr>
      <w:r>
        <w:t>Record exceptions immediately rather than relying on memory.</w:t>
      </w:r>
    </w:p>
    <w:p>
      <w:pPr>
        <w:pStyle w:val="ListNumber"/>
      </w:pPr>
      <w:r>
        <w:t>Escalate any safety, safeguarding or authorisation uncertainty to the designated leader.</w:t>
      </w:r>
    </w:p>
    <w:p>
      <w:pPr>
        <w:pStyle w:val="ListNumber"/>
      </w:pPr>
      <w:r>
        <w:t>Close the process by completing required records and reviewing incidents or exceptions.</w:t>
      </w:r>
    </w:p>
    <w:p>
      <w:pPr>
        <w:pStyle w:val="Heading1"/>
      </w:pPr>
      <w:r>
        <w:t>Records and Evidence</w:t>
      </w:r>
    </w:p>
    <w:p>
      <w:pPr>
        <w:pStyle w:val="ListBullet"/>
      </w:pPr>
      <w:r>
        <w:t>Identify registers, forms, checklists, approvals or system entries that must be retained.</w:t>
      </w:r>
    </w:p>
    <w:p>
      <w:pPr>
        <w:pStyle w:val="ListBullet"/>
      </w:pPr>
      <w:r>
        <w:t>Define where records are stored and who can access them.</w:t>
      </w:r>
    </w:p>
    <w:p>
      <w:pPr>
        <w:pStyle w:val="Heading1"/>
      </w:pPr>
      <w:r>
        <w:t>Escalation</w:t>
      </w:r>
    </w:p>
    <w:p>
      <w:r>
        <w:t>Specify what staff should do when the normal process cannot be followed safely or lawfully.</w:t>
      </w:r>
    </w:p>
    <w:p>
      <w:pPr>
        <w:pStyle w:val="Heading1"/>
      </w:pPr>
      <w:r>
        <w:t>Training and Implementation</w:t>
      </w:r>
    </w:p>
    <w:p>
      <w:pPr>
        <w:pStyle w:val="ListBullet"/>
      </w:pPr>
      <w:r>
        <w:t>Brief relevant staff before implementation.</w:t>
      </w:r>
    </w:p>
    <w:p>
      <w:pPr>
        <w:pStyle w:val="ListBullet"/>
      </w:pPr>
      <w:r>
        <w:t>Use drills or scenarios for high-risk procedures.</w:t>
      </w:r>
    </w:p>
    <w:p>
      <w:pPr>
        <w:pStyle w:val="ListBullet"/>
      </w:pPr>
      <w:r>
        <w:t>Include relevant SOPs in induction.</w:t>
      </w:r>
    </w:p>
    <w:p>
      <w:pPr>
        <w:pStyle w:val="Heading1"/>
      </w:pPr>
      <w:r>
        <w:t>Review</w:t>
      </w:r>
    </w:p>
    <w:p>
      <w:r>
        <w:t>Review at least annually and after a significant incident, operational change or regulatory update.</w:t>
      </w:r>
    </w:p>
    <w:p>
      <w:pPr>
        <w:pStyle w:val="Heading1"/>
      </w:pPr>
      <w:r>
        <w:t>Approval and Review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</w:trPr>
        <w:tc>
          <w:tcPr>
            <w:tcW w:type="dxa" w:w="2556"/>
            <w:shd w:fill="D9EAD3"/>
          </w:tcPr>
          <w:p>
            <w:r>
              <w:t>Role</w:t>
            </w:r>
          </w:p>
        </w:tc>
        <w:tc>
          <w:tcPr>
            <w:tcW w:type="dxa" w:w="2556"/>
            <w:shd w:fill="D9EAD3"/>
          </w:tcPr>
          <w:p>
            <w:r>
              <w:t>Name</w:t>
            </w:r>
          </w:p>
        </w:tc>
        <w:tc>
          <w:tcPr>
            <w:tcW w:type="dxa" w:w="2556"/>
            <w:shd w:fill="D9EAD3"/>
          </w:tcPr>
          <w:p>
            <w:r>
              <w:t>Signature</w:t>
            </w:r>
          </w:p>
        </w:tc>
        <w:tc>
          <w:tcPr>
            <w:tcW w:type="dxa" w:w="2556"/>
            <w:shd w:fill="D9EAD3"/>
          </w:tcPr>
          <w:p>
            <w:r>
              <w:t>Date</w:t>
            </w:r>
          </w:p>
        </w:tc>
      </w:tr>
      <w:tr>
        <w:tc>
          <w:tcPr>
            <w:tcW w:type="dxa" w:w="2556"/>
          </w:tcPr>
          <w:p>
            <w:r>
              <w:t>Prepared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>
              <w:t>Reviewed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>
              <w:t>Approved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</w:tbl>
    <w:p/>
    <w:p>
      <w:pPr>
        <w:pStyle w:val="Heading1"/>
      </w:pPr>
      <w:r>
        <w:t>Revision History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</w:trPr>
        <w:tc>
          <w:tcPr>
            <w:tcW w:type="dxa" w:w="2556"/>
            <w:shd w:fill="D9EAD3"/>
          </w:tcPr>
          <w:p>
            <w:r>
              <w:t>Version</w:t>
            </w:r>
          </w:p>
        </w:tc>
        <w:tc>
          <w:tcPr>
            <w:tcW w:type="dxa" w:w="2556"/>
            <w:shd w:fill="D9EAD3"/>
          </w:tcPr>
          <w:p>
            <w:r>
              <w:t>Date</w:t>
            </w:r>
          </w:p>
        </w:tc>
        <w:tc>
          <w:tcPr>
            <w:tcW w:type="dxa" w:w="2556"/>
            <w:shd w:fill="D9EAD3"/>
          </w:tcPr>
          <w:p>
            <w:r>
              <w:t>Change</w:t>
            </w:r>
          </w:p>
        </w:tc>
        <w:tc>
          <w:tcPr>
            <w:tcW w:type="dxa" w:w="2556"/>
            <w:shd w:fill="D9EAD3"/>
          </w:tcPr>
          <w:p>
            <w:r>
              <w:t>Approved by</w:t>
            </w:r>
          </w:p>
        </w:tc>
      </w:tr>
      <w:tr>
        <w:tc>
          <w:tcPr>
            <w:tcW w:type="dxa" w:w="2556"/>
          </w:tcPr>
          <w:p>
            <w:r>
              <w:t>1.0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>
              <w:t>Initial issue</w:t>
            </w:r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Free professional-use resource | Review and customise before adoption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Dr. Anup Sharma | dranupsharma.com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