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School Communication Policy</w:t>
      </w:r>
    </w:p>
    <w:p>
      <w:r>
        <w:rPr>
          <w:b/>
          <w:sz w:val="22"/>
        </w:rPr>
        <w:t>Parent, staff and student communication standards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ensure school communication is timely, professional, confidential and routed through appropriate channels.</w:t>
      </w:r>
    </w:p>
    <w:p>
      <w:pPr>
        <w:pStyle w:val="Heading1"/>
      </w:pPr>
      <w:r>
        <w:t>Scope</w:t>
      </w:r>
    </w:p>
    <w:p>
      <w:r>
        <w:t>Applies to official communication among school staff, students, parents, leadership and external stakeholders.</w:t>
      </w:r>
    </w:p>
    <w:p>
      <w:pPr>
        <w:pStyle w:val="Heading1"/>
      </w:pPr>
      <w:r>
        <w:t>Policy Principles</w:t>
      </w:r>
    </w:p>
    <w:p>
      <w:pPr>
        <w:pStyle w:val="ListBullet"/>
      </w:pPr>
      <w:r>
        <w:t>Use approved communication channels.</w:t>
      </w:r>
    </w:p>
    <w:p>
      <w:pPr>
        <w:pStyle w:val="ListBullet"/>
      </w:pPr>
      <w:r>
        <w:t>Protect confidential information.</w:t>
      </w:r>
    </w:p>
    <w:p>
      <w:pPr>
        <w:pStyle w:val="ListBullet"/>
      </w:pPr>
      <w:r>
        <w:t>Respond within published service expectations.</w:t>
      </w:r>
    </w:p>
    <w:p>
      <w:pPr>
        <w:pStyle w:val="ListBullet"/>
      </w:pPr>
      <w:r>
        <w:t>Escalate rather than argue through informal messaging.</w:t>
      </w:r>
    </w:p>
    <w:p>
      <w:pPr>
        <w:pStyle w:val="ListBullet"/>
      </w:pPr>
      <w:r>
        <w:t>Communicate facts clearly and distinguish confirmed information from provisional information.</w:t>
      </w:r>
    </w:p>
    <w:p>
      <w:pPr>
        <w:pStyle w:val="Heading1"/>
      </w:pPr>
      <w:r>
        <w:t>Operational Expectations</w:t>
      </w:r>
    </w:p>
    <w:p>
      <w:pPr>
        <w:pStyle w:val="ListBullet"/>
      </w:pPr>
      <w:r>
        <w:t>Urgent safety matters use immediate escalation channels.</w:t>
      </w:r>
    </w:p>
    <w:p>
      <w:pPr>
        <w:pStyle w:val="ListBullet"/>
      </w:pPr>
      <w:r>
        <w:t>Academic questions normally begin with the relevant teacher/academic lead.</w:t>
      </w:r>
    </w:p>
    <w:p>
      <w:pPr>
        <w:pStyle w:val="ListBullet"/>
      </w:pPr>
      <w:r>
        <w:t>Complaints follow the Parent Complaint Handling SOP.</w:t>
      </w:r>
    </w:p>
    <w:p>
      <w:pPr>
        <w:pStyle w:val="ListBullet"/>
      </w:pPr>
      <w:r>
        <w:t>Mass communication requires authorised messaging and verified recipient lists.</w:t>
      </w:r>
    </w:p>
    <w:p>
      <w:pPr>
        <w:pStyle w:val="ListBullet"/>
      </w:pPr>
      <w:r>
        <w:t>Sensitive matters should not be discussed in public or group channels.</w:t>
      </w:r>
    </w:p>
    <w:p>
      <w:pPr>
        <w:pStyle w:val="Heading1"/>
      </w:pPr>
      <w:r>
        <w:t>Records</w:t>
      </w:r>
    </w:p>
    <w:p>
      <w:pPr>
        <w:pStyle w:val="ListBullet"/>
      </w:pPr>
      <w:r>
        <w:t>Formal notices</w:t>
      </w:r>
    </w:p>
    <w:p>
      <w:pPr>
        <w:pStyle w:val="ListBullet"/>
      </w:pPr>
      <w:r>
        <w:t>Complaint/case correspondence</w:t>
      </w:r>
    </w:p>
    <w:p>
      <w:pPr>
        <w:pStyle w:val="ListBullet"/>
      </w:pPr>
      <w:r>
        <w:t>Meeting records where appropriate</w:t>
      </w:r>
    </w:p>
    <w:p>
      <w:pPr>
        <w:pStyle w:val="ListBullet"/>
      </w:pPr>
      <w:r>
        <w:t>Emergency communication log</w:t>
      </w:r>
    </w:p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