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SCHOOL ACADEMIC AUDIT CHECKLIST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p>
      <w:pPr>
        <w:pStyle w:val="Heading1"/>
      </w:pPr>
      <w:r>
        <w:t>School Academic Audit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Domain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Evidence to review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RAG / Rating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Priority action</w:t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Curriculum alignment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Scope and sequence, standards, programme requirements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Lesson planning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Planning quality, alignment, differentiation, reflection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Classroom practice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Observation evidence, engagement, questioning, inclusion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Assessment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Validity, moderation, feedback, use of data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 progress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Attainment, growth, intervention and extension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Teacher development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Needs analysis, coaching, PD impact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Academic leadership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Roles, monitoring, meeting quality, follow-up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Inclusion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SEN/learning support, language access, accommodations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Homework / independent learning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Purpose, workload, review, age appropriateness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Parent academic communication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Clarity, reporting, concerns, expectations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Resources / technology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Purposeful use, access, safety, AI/digital guardrails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Continuous improvement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Action plan, owners, timelines, evidence of impact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r>
        <w:rPr>
          <w:b/>
          <w:color w:val="505050"/>
          <w:sz w:val="16"/>
        </w:rPr>
        <w:t xml:space="preserve">Use note: </w:t>
      </w:r>
      <w:r>
        <w:rPr>
          <w:color w:val="505050"/>
          <w:sz w:val="16"/>
        </w:rPr>
        <w:t>Use documents, classroom evidence, student work, assessment data and stakeholder feedback together. Avoid treating any single metric as the whole academic picture.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