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Mobile Phone Policy for Schools</w:t>
      </w:r>
    </w:p>
    <w:p>
      <w:r>
        <w:rPr>
          <w:b/>
          <w:sz w:val="22"/>
        </w:rPr>
        <w:t>Student possession, classroom use, privacy, emergencies and digital responsibility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protect learning, privacy, wellbeing and safety while defining when student mobile phones may be possessed or used.</w:t>
      </w:r>
    </w:p>
    <w:p>
      <w:pPr>
        <w:pStyle w:val="Heading1"/>
      </w:pPr>
      <w:r>
        <w:t>Scope</w:t>
      </w:r>
    </w:p>
    <w:p>
      <w:r>
        <w:t>Applies to phones and personally owned communication devices brought to school.</w:t>
      </w:r>
    </w:p>
    <w:p>
      <w:pPr>
        <w:pStyle w:val="Heading1"/>
      </w:pPr>
      <w:r>
        <w:t>Policy Principles</w:t>
      </w:r>
    </w:p>
    <w:p>
      <w:pPr>
        <w:pStyle w:val="ListBullet"/>
      </w:pPr>
      <w:r>
        <w:t>School rules should be age appropriate and clearly communicated.</w:t>
      </w:r>
    </w:p>
    <w:p>
      <w:pPr>
        <w:pStyle w:val="ListBullet"/>
      </w:pPr>
      <w:r>
        <w:t>Instructional use occurs only when explicitly authorised.</w:t>
      </w:r>
    </w:p>
    <w:p>
      <w:pPr>
        <w:pStyle w:val="ListBullet"/>
      </w:pPr>
      <w:r>
        <w:t>Recording others without consent is prohibited except where lawful and expressly permitted.</w:t>
      </w:r>
    </w:p>
    <w:p>
      <w:pPr>
        <w:pStyle w:val="ListBullet"/>
      </w:pPr>
      <w:r>
        <w:t>Emergency communication follows school channels.</w:t>
      </w:r>
    </w:p>
    <w:p>
      <w:pPr>
        <w:pStyle w:val="ListBullet"/>
      </w:pPr>
      <w:r>
        <w:t>Consequences should be predictable, proportionate and documented.</w:t>
      </w:r>
    </w:p>
    <w:p>
      <w:pPr>
        <w:pStyle w:val="Heading1"/>
      </w:pPr>
      <w:r>
        <w:t>Operational Rules</w:t>
      </w:r>
    </w:p>
    <w:p>
      <w:pPr>
        <w:pStyle w:val="ListBullet"/>
      </w:pPr>
      <w:r>
        <w:t>Phones remain switched off/stored during restricted periods as defined by the school.</w:t>
      </w:r>
    </w:p>
    <w:p>
      <w:pPr>
        <w:pStyle w:val="ListBullet"/>
      </w:pPr>
      <w:r>
        <w:t>Students may use devices in designated circumstances or areas only if the school permits.</w:t>
      </w:r>
    </w:p>
    <w:p>
      <w:pPr>
        <w:pStyle w:val="ListBullet"/>
      </w:pPr>
      <w:r>
        <w:t>Staff should not search a device beyond school authority and applicable law.</w:t>
      </w:r>
    </w:p>
    <w:p>
      <w:pPr>
        <w:pStyle w:val="ListBullet"/>
      </w:pPr>
      <w:r>
        <w:t>If a device is temporarily retained, the school records custody and return.</w:t>
      </w:r>
    </w:p>
    <w:p>
      <w:pPr>
        <w:pStyle w:val="ListBullet"/>
      </w:pPr>
      <w:r>
        <w:t>Serious digital-safety concerns are escalated under safeguarding/behaviour procedures.</w:t>
      </w:r>
    </w:p>
    <w:p>
      <w:pPr>
        <w:pStyle w:val="Heading1"/>
      </w:pPr>
      <w:r>
        <w:t>Records</w:t>
      </w:r>
    </w:p>
    <w:p>
      <w:pPr>
        <w:pStyle w:val="ListBullet"/>
      </w:pPr>
      <w:r>
        <w:t>Device incident record</w:t>
      </w:r>
    </w:p>
    <w:p>
      <w:pPr>
        <w:pStyle w:val="ListBullet"/>
      </w:pPr>
      <w:r>
        <w:t>Temporary retention/confiscation log where used</w:t>
      </w:r>
    </w:p>
    <w:p>
      <w:pPr>
        <w:pStyle w:val="ListBullet"/>
      </w:pPr>
      <w:r>
        <w:t>Parent communication</w:t>
      </w:r>
    </w:p>
    <w:p>
      <w:pPr>
        <w:pStyle w:val="ListBullet"/>
      </w:pPr>
      <w:r>
        <w:t>Safeguarding referral where applicable</w:t>
      </w:r>
    </w:p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