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00"/>
      </w:tblGrid>
      <w:tr>
        <w:trPr>
          <w:cantSplit w:val="1"/>
        </w:trPr>
        <w:tc>
          <w:tcPr>
            <w:tcW w:type="dxa" w:w="10800"/>
            <w:shd w:fill="17324D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IB</w:t>
            </w:r>
          </w:p>
          <w:p>
            <w:pPr>
              <w:jc w:val="center"/>
            </w:pPr>
            <w:r>
              <w:rPr>
                <w:b/>
                <w:color w:val="FFFFFF"/>
                <w:sz w:val="44"/>
              </w:rPr>
              <w:t>LESSON OBSERVATION FORM</w:t>
            </w:r>
          </w:p>
          <w:p>
            <w:pPr>
              <w:jc w:val="center"/>
            </w:pPr>
            <w:r>
              <w:rPr>
                <w:color w:val="DCE8F2"/>
                <w:sz w:val="18"/>
              </w:rPr>
              <w:t>Universal evidence-based form for PYP, MYP and DP • All subjects and grade levels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cantSplit w:val="1"/>
        </w:trPr>
        <w:tc>
          <w:tcPr>
            <w:tcW w:type="dxa" w:w="2700"/>
            <w:tcMar>
              <w:top w:w="80" w:type="dxa"/>
              <w:start w:w="90" w:type="dxa"/>
              <w:bottom w:w="80" w:type="dxa"/>
              <w:end w:w="90" w:type="dxa"/>
            </w:tcMar>
            <w:shd w:fill="EAF0F5"/>
            <w:vAlign w:val="center"/>
          </w:tcPr>
          <w:p>
            <w:r>
              <w:rPr>
                <w:b/>
                <w:sz w:val="17"/>
              </w:rPr>
              <w:t>School</w:t>
            </w:r>
          </w:p>
        </w:tc>
        <w:tc>
          <w:tcPr>
            <w:tcW w:type="dxa" w:w="2700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sz w:val="17"/>
              </w:rPr>
            </w:r>
          </w:p>
        </w:tc>
        <w:tc>
          <w:tcPr>
            <w:tcW w:type="dxa" w:w="2700"/>
            <w:tcMar>
              <w:top w:w="80" w:type="dxa"/>
              <w:start w:w="90" w:type="dxa"/>
              <w:bottom w:w="80" w:type="dxa"/>
              <w:end w:w="90" w:type="dxa"/>
            </w:tcMar>
            <w:shd w:fill="EAF0F5"/>
            <w:vAlign w:val="center"/>
          </w:tcPr>
          <w:p>
            <w:r>
              <w:rPr>
                <w:b/>
                <w:sz w:val="17"/>
              </w:rPr>
              <w:t>Observer</w:t>
            </w:r>
          </w:p>
        </w:tc>
        <w:tc>
          <w:tcPr>
            <w:tcW w:type="dxa" w:w="2700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sz w:val="17"/>
              </w:rPr>
            </w:r>
          </w:p>
        </w:tc>
      </w:tr>
      <w:tr>
        <w:trPr>
          <w:cantSplit w:val="1"/>
        </w:trPr>
        <w:tc>
          <w:tcPr>
            <w:tcW w:type="dxa" w:w="2700"/>
            <w:tcMar>
              <w:top w:w="80" w:type="dxa"/>
              <w:start w:w="90" w:type="dxa"/>
              <w:bottom w:w="80" w:type="dxa"/>
              <w:end w:w="90" w:type="dxa"/>
            </w:tcMar>
            <w:shd w:fill="EAF0F5"/>
            <w:vAlign w:val="center"/>
          </w:tcPr>
          <w:p>
            <w:r>
              <w:rPr>
                <w:b/>
                <w:sz w:val="17"/>
              </w:rPr>
              <w:t>Teacher</w:t>
            </w:r>
          </w:p>
        </w:tc>
        <w:tc>
          <w:tcPr>
            <w:tcW w:type="dxa" w:w="2700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sz w:val="17"/>
              </w:rPr>
            </w:r>
          </w:p>
        </w:tc>
        <w:tc>
          <w:tcPr>
            <w:tcW w:type="dxa" w:w="2700"/>
            <w:tcMar>
              <w:top w:w="80" w:type="dxa"/>
              <w:start w:w="90" w:type="dxa"/>
              <w:bottom w:w="80" w:type="dxa"/>
              <w:end w:w="90" w:type="dxa"/>
            </w:tcMar>
            <w:shd w:fill="EAF0F5"/>
            <w:vAlign w:val="center"/>
          </w:tcPr>
          <w:p>
            <w:r>
              <w:rPr>
                <w:b/>
                <w:sz w:val="17"/>
              </w:rPr>
              <w:t>Date &amp; Time</w:t>
            </w:r>
          </w:p>
        </w:tc>
        <w:tc>
          <w:tcPr>
            <w:tcW w:type="dxa" w:w="2700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sz w:val="17"/>
              </w:rPr>
            </w:r>
          </w:p>
        </w:tc>
      </w:tr>
      <w:tr>
        <w:trPr>
          <w:cantSplit w:val="1"/>
        </w:trPr>
        <w:tc>
          <w:tcPr>
            <w:tcW w:type="dxa" w:w="2700"/>
            <w:tcMar>
              <w:top w:w="80" w:type="dxa"/>
              <w:start w:w="90" w:type="dxa"/>
              <w:bottom w:w="80" w:type="dxa"/>
              <w:end w:w="90" w:type="dxa"/>
            </w:tcMar>
            <w:shd w:fill="EAF0F5"/>
            <w:vAlign w:val="center"/>
          </w:tcPr>
          <w:p>
            <w:r>
              <w:rPr>
                <w:b/>
                <w:sz w:val="17"/>
              </w:rPr>
              <w:t>Class / Grade</w:t>
            </w:r>
          </w:p>
        </w:tc>
        <w:tc>
          <w:tcPr>
            <w:tcW w:type="dxa" w:w="2700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sz w:val="17"/>
              </w:rPr>
            </w:r>
          </w:p>
        </w:tc>
        <w:tc>
          <w:tcPr>
            <w:tcW w:type="dxa" w:w="2700"/>
            <w:tcMar>
              <w:top w:w="80" w:type="dxa"/>
              <w:start w:w="90" w:type="dxa"/>
              <w:bottom w:w="80" w:type="dxa"/>
              <w:end w:w="90" w:type="dxa"/>
            </w:tcMar>
            <w:shd w:fill="EAF0F5"/>
            <w:vAlign w:val="center"/>
          </w:tcPr>
          <w:p>
            <w:r>
              <w:rPr>
                <w:b/>
                <w:sz w:val="17"/>
              </w:rPr>
              <w:t>Subject</w:t>
            </w:r>
          </w:p>
        </w:tc>
        <w:tc>
          <w:tcPr>
            <w:tcW w:type="dxa" w:w="2700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sz w:val="17"/>
              </w:rPr>
            </w:r>
          </w:p>
        </w:tc>
      </w:tr>
      <w:tr>
        <w:trPr>
          <w:cantSplit w:val="1"/>
        </w:trPr>
        <w:tc>
          <w:tcPr>
            <w:tcW w:type="dxa" w:w="2700"/>
            <w:tcMar>
              <w:top w:w="80" w:type="dxa"/>
              <w:start w:w="90" w:type="dxa"/>
              <w:bottom w:w="80" w:type="dxa"/>
              <w:end w:w="90" w:type="dxa"/>
            </w:tcMar>
            <w:shd w:fill="EAF0F5"/>
            <w:vAlign w:val="center"/>
          </w:tcPr>
          <w:p>
            <w:r>
              <w:rPr>
                <w:b/>
                <w:sz w:val="17"/>
              </w:rPr>
              <w:t>Unit / Chapter / Topic</w:t>
            </w:r>
          </w:p>
        </w:tc>
        <w:tc>
          <w:tcPr>
            <w:tcW w:type="dxa" w:w="2700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sz w:val="17"/>
              </w:rPr>
            </w:r>
          </w:p>
        </w:tc>
        <w:tc>
          <w:tcPr>
            <w:tcW w:type="dxa" w:w="2700"/>
            <w:tcMar>
              <w:top w:w="80" w:type="dxa"/>
              <w:start w:w="90" w:type="dxa"/>
              <w:bottom w:w="80" w:type="dxa"/>
              <w:end w:w="90" w:type="dxa"/>
            </w:tcMar>
            <w:shd w:fill="EAF0F5"/>
            <w:vAlign w:val="center"/>
          </w:tcPr>
          <w:p>
            <w:r>
              <w:rPr>
                <w:b/>
                <w:sz w:val="17"/>
              </w:rPr>
              <w:t>Lesson Duration</w:t>
            </w:r>
          </w:p>
        </w:tc>
        <w:tc>
          <w:tcPr>
            <w:tcW w:type="dxa" w:w="2700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sz w:val="17"/>
              </w:rPr>
            </w:r>
          </w:p>
        </w:tc>
      </w:tr>
      <w:tr>
        <w:trPr>
          <w:cantSplit w:val="1"/>
        </w:trPr>
        <w:tc>
          <w:tcPr>
            <w:tcW w:type="dxa" w:w="2700"/>
            <w:tcMar>
              <w:top w:w="80" w:type="dxa"/>
              <w:start w:w="90" w:type="dxa"/>
              <w:bottom w:w="80" w:type="dxa"/>
              <w:end w:w="90" w:type="dxa"/>
            </w:tcMar>
            <w:shd w:fill="EAF0F5"/>
            <w:vAlign w:val="center"/>
          </w:tcPr>
          <w:p>
            <w:r>
              <w:rPr>
                <w:b/>
                <w:sz w:val="17"/>
              </w:rPr>
              <w:t>Students Present</w:t>
            </w:r>
          </w:p>
        </w:tc>
        <w:tc>
          <w:tcPr>
            <w:tcW w:type="dxa" w:w="2700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sz w:val="17"/>
              </w:rPr>
            </w:r>
          </w:p>
        </w:tc>
        <w:tc>
          <w:tcPr>
            <w:tcW w:type="dxa" w:w="2700"/>
            <w:tcMar>
              <w:top w:w="80" w:type="dxa"/>
              <w:start w:w="90" w:type="dxa"/>
              <w:bottom w:w="80" w:type="dxa"/>
              <w:end w:w="90" w:type="dxa"/>
            </w:tcMar>
            <w:shd w:fill="EAF0F5"/>
            <w:vAlign w:val="center"/>
          </w:tcPr>
          <w:p>
            <w:r>
              <w:rPr>
                <w:b/>
                <w:sz w:val="17"/>
              </w:rPr>
              <w:t>Observation Type</w:t>
            </w:r>
          </w:p>
        </w:tc>
        <w:tc>
          <w:tcPr>
            <w:tcW w:type="dxa" w:w="2700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sz w:val="17"/>
              </w:rPr>
              <w:t>☐ Formal   ☐ Learning walk   ☐ Coaching   ☐ Peer</w:t>
            </w:r>
          </w:p>
        </w:tc>
      </w:tr>
      <w:tr>
        <w:trPr>
          <w:cantSplit w:val="1"/>
        </w:trPr>
        <w:tc>
          <w:tcPr>
            <w:tcW w:type="dxa" w:w="2700"/>
            <w:tcMar>
              <w:top w:w="80" w:type="dxa"/>
              <w:start w:w="90" w:type="dxa"/>
              <w:bottom w:w="80" w:type="dxa"/>
              <w:end w:w="90" w:type="dxa"/>
            </w:tcMar>
            <w:shd w:fill="EAF0F5"/>
            <w:vAlign w:val="center"/>
          </w:tcPr>
          <w:p>
            <w:r>
              <w:rPr>
                <w:b/>
                <w:sz w:val="17"/>
              </w:rPr>
              <w:t>Programme / Stage</w:t>
            </w:r>
          </w:p>
        </w:tc>
        <w:tc>
          <w:tcPr>
            <w:tcW w:type="dxa" w:w="2700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sz w:val="17"/>
              </w:rPr>
            </w:r>
          </w:p>
        </w:tc>
        <w:tc>
          <w:tcPr>
            <w:tcW w:type="dxa" w:w="2700"/>
            <w:tcMar>
              <w:top w:w="80" w:type="dxa"/>
              <w:start w:w="90" w:type="dxa"/>
              <w:bottom w:w="80" w:type="dxa"/>
              <w:end w:w="90" w:type="dxa"/>
            </w:tcMar>
            <w:shd w:fill="EAF0F5"/>
            <w:vAlign w:val="center"/>
          </w:tcPr>
          <w:p>
            <w:r>
              <w:rPr>
                <w:b/>
                <w:sz w:val="17"/>
              </w:rPr>
              <w:t>Lesson Context</w:t>
            </w:r>
          </w:p>
        </w:tc>
        <w:tc>
          <w:tcPr>
            <w:tcW w:type="dxa" w:w="2700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sz w:val="17"/>
              </w:rPr>
              <w:t>☐ New learning   ☐ Practice   ☐ Application   ☐ Assessment</w:t>
            </w:r>
          </w:p>
        </w:tc>
      </w:tr>
    </w:tbl>
    <w:p/>
    <w:p>
      <w:pPr>
        <w:spacing w:after="80"/>
      </w:pPr>
      <w:r>
        <w:rPr>
          <w:b/>
          <w:color w:val="17324D"/>
        </w:rPr>
        <w:t xml:space="preserve">Observation principle: </w:t>
      </w:r>
      <w:r>
        <w:rPr>
          <w:sz w:val="18"/>
        </w:rPr>
        <w:t>Observe the learning that is actually occurring. Use programme language only when it is relevant to the lesson; do not penalise a teacher because a particular IB element is not expected in that lesson.</w:t>
      </w:r>
    </w:p>
    <w:p>
      <w:pPr>
        <w:pStyle w:val="Heading2"/>
        <w:keepNext/>
      </w:pPr>
      <w:r>
        <w:t>Rating scale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  <w:gridCol w:w="2160"/>
      </w:tblGrid>
      <w:tr>
        <w:trPr>
          <w:cantSplit w:val="1"/>
        </w:trPr>
        <w:tc>
          <w:tcPr>
            <w:tcW w:type="dxa" w:w="2160"/>
            <w:shd w:fill="D9E7F2"/>
            <w:vAlign w:val="center"/>
          </w:tcPr>
          <w:p>
            <w:r>
              <w:rPr>
                <w:b/>
                <w:sz w:val="15"/>
              </w:rPr>
              <w:t>1 • Emerging</w:t>
            </w:r>
          </w:p>
        </w:tc>
        <w:tc>
          <w:tcPr>
            <w:tcW w:type="dxa" w:w="2160"/>
            <w:shd w:fill="D9E7F2"/>
            <w:vAlign w:val="center"/>
          </w:tcPr>
          <w:p>
            <w:r>
              <w:rPr>
                <w:b/>
                <w:sz w:val="15"/>
              </w:rPr>
              <w:t>2 • Developing</w:t>
            </w:r>
          </w:p>
        </w:tc>
        <w:tc>
          <w:tcPr>
            <w:tcW w:type="dxa" w:w="2160"/>
            <w:shd w:fill="D9E7F2"/>
            <w:vAlign w:val="center"/>
          </w:tcPr>
          <w:p>
            <w:r>
              <w:rPr>
                <w:b/>
                <w:sz w:val="15"/>
              </w:rPr>
              <w:t>3 • Secure</w:t>
            </w:r>
          </w:p>
        </w:tc>
        <w:tc>
          <w:tcPr>
            <w:tcW w:type="dxa" w:w="2160"/>
            <w:shd w:fill="D9E7F2"/>
            <w:vAlign w:val="center"/>
          </w:tcPr>
          <w:p>
            <w:r>
              <w:rPr>
                <w:b/>
                <w:sz w:val="15"/>
              </w:rPr>
              <w:t>4 • Strong</w:t>
            </w:r>
          </w:p>
        </w:tc>
        <w:tc>
          <w:tcPr>
            <w:tcW w:type="dxa" w:w="2160"/>
            <w:shd w:fill="D9E7F2"/>
            <w:vAlign w:val="center"/>
          </w:tcPr>
          <w:p>
            <w:r>
              <w:rPr>
                <w:b/>
                <w:sz w:val="15"/>
              </w:rPr>
              <w:t>N/O • Not observed / N/A</w:t>
            </w:r>
          </w:p>
        </w:tc>
      </w:tr>
      <w:tr>
        <w:trPr>
          <w:cantSplit w:val="1"/>
        </w:trPr>
        <w:tc>
          <w:tcPr>
            <w:tcW w:type="dxa" w:w="2160"/>
          </w:tcPr>
          <w:p>
            <w:r>
              <w:rPr>
                <w:sz w:val="14"/>
              </w:rPr>
              <w:t>Practice is limited, inconsistent or requires immediate support.</w:t>
            </w:r>
          </w:p>
        </w:tc>
        <w:tc>
          <w:tcPr>
            <w:tcW w:type="dxa" w:w="2160"/>
          </w:tcPr>
          <w:p>
            <w:r>
              <w:rPr>
                <w:sz w:val="14"/>
              </w:rPr>
              <w:t>Some effective practice is visible but not yet reliable.</w:t>
            </w:r>
          </w:p>
        </w:tc>
        <w:tc>
          <w:tcPr>
            <w:tcW w:type="dxa" w:w="2160"/>
          </w:tcPr>
          <w:p>
            <w:r>
              <w:rPr>
                <w:sz w:val="14"/>
              </w:rPr>
              <w:t>Practice is consistently effective for the lesson context.</w:t>
            </w:r>
          </w:p>
        </w:tc>
        <w:tc>
          <w:tcPr>
            <w:tcW w:type="dxa" w:w="2160"/>
          </w:tcPr>
          <w:p>
            <w:r>
              <w:rPr>
                <w:sz w:val="14"/>
              </w:rPr>
              <w:t>Practice is highly effective, responsive and worth sharing.</w:t>
            </w:r>
          </w:p>
        </w:tc>
        <w:tc>
          <w:tcPr>
            <w:tcW w:type="dxa" w:w="2160"/>
          </w:tcPr>
          <w:p>
            <w:r>
              <w:rPr>
                <w:sz w:val="14"/>
              </w:rPr>
              <w:t>Do not force a rating when the element is not visible or applicable.</w:t>
            </w:r>
          </w:p>
        </w:tc>
      </w:tr>
    </w:tbl>
    <w:p/>
    <w:p>
      <w:pPr>
        <w:pStyle w:val="Heading1"/>
        <w:keepNext/>
      </w:pPr>
      <w:r>
        <w:t>Core IB observation dimensions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blHeader w:val="true"/>
          <w:cantSplit w:val="1"/>
        </w:trPr>
        <w:tc>
          <w:tcPr>
            <w:tcW w:type="dxa" w:w="2700"/>
            <w:shd w:fill="17324D"/>
            <w:vAlign w:val="center"/>
          </w:tcPr>
          <w:p>
            <w:r>
              <w:rPr>
                <w:b/>
                <w:color w:val="FFFFFF"/>
                <w:sz w:val="16"/>
              </w:rPr>
              <w:t>Observation dimension</w:t>
            </w:r>
          </w:p>
        </w:tc>
        <w:tc>
          <w:tcPr>
            <w:tcW w:type="dxa" w:w="2700"/>
            <w:shd w:fill="17324D"/>
            <w:vAlign w:val="center"/>
          </w:tcPr>
          <w:p>
            <w:r>
              <w:rPr>
                <w:b/>
                <w:color w:val="FFFFFF"/>
                <w:sz w:val="16"/>
              </w:rPr>
              <w:t>What to look for</w:t>
            </w:r>
          </w:p>
        </w:tc>
        <w:tc>
          <w:tcPr>
            <w:tcW w:type="dxa" w:w="2700"/>
            <w:shd w:fill="17324D"/>
            <w:vAlign w:val="center"/>
          </w:tcPr>
          <w:p>
            <w:r>
              <w:rPr>
                <w:b/>
                <w:color w:val="FFFFFF"/>
                <w:sz w:val="16"/>
              </w:rPr>
              <w:t>Rating</w:t>
            </w:r>
          </w:p>
        </w:tc>
        <w:tc>
          <w:tcPr>
            <w:tcW w:type="dxa" w:w="2700"/>
            <w:shd w:fill="17324D"/>
            <w:vAlign w:val="center"/>
          </w:tcPr>
          <w:p>
            <w:r>
              <w:rPr>
                <w:b/>
                <w:color w:val="FFFFFF"/>
                <w:sz w:val="16"/>
              </w:rPr>
              <w:t>Evidence / notes</w:t>
            </w:r>
          </w:p>
        </w:tc>
      </w:tr>
      <w:tr>
        <w:trPr>
          <w:cantSplit w:val="1"/>
        </w:trPr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  <w:shd w:fill="F4F7F9"/>
          </w:tcPr>
          <w:p>
            <w:r>
              <w:rPr>
                <w:b/>
                <w:sz w:val="15"/>
              </w:rPr>
              <w:t>Purpose &amp; conceptual direction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5"/>
              </w:rPr>
              <w:t>Students can access the purpose of learning; concepts, understandings or intended outcomes are coherent and meaningful.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4"/>
              </w:rPr>
              <w:t>☐1 ☐2 ☐3 ☐4 ☐N/O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5"/>
              </w:rPr>
            </w:r>
          </w:p>
        </w:tc>
      </w:tr>
      <w:tr>
        <w:trPr>
          <w:cantSplit w:val="1"/>
        </w:trPr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  <w:shd w:fill="F4F7F9"/>
          </w:tcPr>
          <w:p>
            <w:r>
              <w:rPr>
                <w:b/>
                <w:sz w:val="15"/>
              </w:rPr>
              <w:t>Inquiry &amp; questioning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5"/>
              </w:rPr>
              <w:t>Questions and tasks invite thinking, curiosity, explanation, interpretation or investigation rather than only recall.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4"/>
              </w:rPr>
              <w:t>☐1 ☐2 ☐3 ☐4 ☐N/O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5"/>
              </w:rPr>
            </w:r>
          </w:p>
        </w:tc>
      </w:tr>
      <w:tr>
        <w:trPr>
          <w:cantSplit w:val="1"/>
        </w:trPr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  <w:shd w:fill="F4F7F9"/>
          </w:tcPr>
          <w:p>
            <w:r>
              <w:rPr>
                <w:b/>
                <w:sz w:val="15"/>
              </w:rPr>
              <w:t>Student agency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5"/>
              </w:rPr>
              <w:t>Students have appropriate voice, choice, ownership, decision-making or responsibility for learning.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4"/>
              </w:rPr>
              <w:t>☐1 ☐2 ☐3 ☐4 ☐N/O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5"/>
              </w:rPr>
            </w:r>
          </w:p>
        </w:tc>
      </w:tr>
      <w:tr>
        <w:trPr>
          <w:cantSplit w:val="1"/>
        </w:trPr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  <w:shd w:fill="F4F7F9"/>
          </w:tcPr>
          <w:p>
            <w:r>
              <w:rPr>
                <w:b/>
                <w:sz w:val="15"/>
              </w:rPr>
              <w:t>Approaches to Learning / skills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5"/>
              </w:rPr>
              <w:t>Communication, thinking, research, self-management or social skills are intentionally developed where relevant.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4"/>
              </w:rPr>
              <w:t>☐1 ☐2 ☐3 ☐4 ☐N/O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5"/>
              </w:rPr>
            </w:r>
          </w:p>
        </w:tc>
      </w:tr>
      <w:tr>
        <w:trPr>
          <w:cantSplit w:val="1"/>
        </w:trPr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  <w:shd w:fill="F4F7F9"/>
          </w:tcPr>
          <w:p>
            <w:r>
              <w:rPr>
                <w:b/>
                <w:sz w:val="15"/>
              </w:rPr>
              <w:t>Learner Profile in action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5"/>
              </w:rPr>
              <w:t>Relevant attributes are visible through authentic learning behaviour rather than displayed as slogans.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4"/>
              </w:rPr>
              <w:t>☐1 ☐2 ☐3 ☐4 ☐N/O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5"/>
              </w:rPr>
            </w:r>
          </w:p>
        </w:tc>
      </w:tr>
      <w:tr>
        <w:trPr>
          <w:cantSplit w:val="1"/>
        </w:trPr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  <w:shd w:fill="F4F7F9"/>
          </w:tcPr>
          <w:p>
            <w:r>
              <w:rPr>
                <w:b/>
                <w:sz w:val="15"/>
              </w:rPr>
              <w:t>Explanation &amp; modelling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5"/>
              </w:rPr>
              <w:t>Teacher explanations, examples, models and scaffolds make complex learning accessible without doing the thinking for students.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4"/>
              </w:rPr>
              <w:t>☐1 ☐2 ☐3 ☐4 ☐N/O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5"/>
              </w:rPr>
            </w:r>
          </w:p>
        </w:tc>
      </w:tr>
      <w:tr>
        <w:trPr>
          <w:cantSplit w:val="1"/>
        </w:trPr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  <w:shd w:fill="F4F7F9"/>
          </w:tcPr>
          <w:p>
            <w:r>
              <w:rPr>
                <w:b/>
                <w:sz w:val="15"/>
              </w:rPr>
              <w:t>Intellectual engagement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5"/>
              </w:rPr>
              <w:t>Students are cognitively engaged, not merely compliant, busy or quiet.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4"/>
              </w:rPr>
              <w:t>☐1 ☐2 ☐3 ☐4 ☐N/O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5"/>
              </w:rPr>
            </w:r>
          </w:p>
        </w:tc>
      </w:tr>
      <w:tr>
        <w:trPr>
          <w:cantSplit w:val="1"/>
        </w:trPr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  <w:shd w:fill="F4F7F9"/>
          </w:tcPr>
          <w:p>
            <w:r>
              <w:rPr>
                <w:b/>
                <w:sz w:val="15"/>
              </w:rPr>
              <w:t>Differentiation &amp; inclusion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5"/>
              </w:rPr>
              <w:t>Support, extension, language access and reasonable adjustments respond to learner readiness and need.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4"/>
              </w:rPr>
              <w:t>☐1 ☐2 ☐3 ☐4 ☐N/O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5"/>
              </w:rPr>
            </w:r>
          </w:p>
        </w:tc>
      </w:tr>
      <w:tr>
        <w:trPr>
          <w:cantSplit w:val="1"/>
        </w:trPr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  <w:shd w:fill="F4F7F9"/>
          </w:tcPr>
          <w:p>
            <w:r>
              <w:rPr>
                <w:b/>
                <w:sz w:val="15"/>
              </w:rPr>
              <w:t>Assessment for learning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5"/>
              </w:rPr>
              <w:t>The teacher gathers evidence of understanding during the lesson and adapts teaching when needed.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4"/>
              </w:rPr>
              <w:t>☐1 ☐2 ☐3 ☐4 ☐N/O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5"/>
              </w:rPr>
            </w:r>
          </w:p>
        </w:tc>
      </w:tr>
      <w:tr>
        <w:trPr>
          <w:cantSplit w:val="1"/>
        </w:trPr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  <w:shd w:fill="F4F7F9"/>
          </w:tcPr>
          <w:p>
            <w:r>
              <w:rPr>
                <w:b/>
                <w:sz w:val="15"/>
              </w:rPr>
              <w:t>Feedback &amp; feed-forward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5"/>
              </w:rPr>
              <w:t>Feedback helps learners understand quality, improve work or decide a next step.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4"/>
              </w:rPr>
              <w:t>☐1 ☐2 ☐3 ☐4 ☐N/O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5"/>
              </w:rPr>
            </w:r>
          </w:p>
        </w:tc>
      </w:tr>
      <w:tr>
        <w:trPr>
          <w:cantSplit w:val="1"/>
        </w:trPr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  <w:shd w:fill="F4F7F9"/>
          </w:tcPr>
          <w:p>
            <w:r>
              <w:rPr>
                <w:b/>
                <w:sz w:val="15"/>
              </w:rPr>
              <w:t>Collaboration &amp; dialogue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5"/>
              </w:rPr>
              <w:t>Student talk and collaboration, where used, deepen thinking and are structured purposefully.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4"/>
              </w:rPr>
              <w:t>☐1 ☐2 ☐3 ☐4 ☐N/O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5"/>
              </w:rPr>
            </w:r>
          </w:p>
        </w:tc>
      </w:tr>
      <w:tr>
        <w:trPr>
          <w:cantSplit w:val="1"/>
        </w:trPr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  <w:shd w:fill="F4F7F9"/>
          </w:tcPr>
          <w:p>
            <w:r>
              <w:rPr>
                <w:b/>
                <w:sz w:val="15"/>
              </w:rPr>
              <w:t>Reflection &amp; metacognition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5"/>
              </w:rPr>
              <w:t>Students have opportunities to reflect on learning, strategy, progress or next steps.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4"/>
              </w:rPr>
              <w:t>☐1 ☐2 ☐3 ☐4 ☐N/O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5"/>
              </w:rPr>
            </w:r>
          </w:p>
        </w:tc>
      </w:tr>
      <w:tr>
        <w:trPr>
          <w:cantSplit w:val="1"/>
        </w:trPr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  <w:shd w:fill="F4F7F9"/>
          </w:tcPr>
          <w:p>
            <w:r>
              <w:rPr>
                <w:b/>
                <w:sz w:val="15"/>
              </w:rPr>
              <w:t>Connection &amp; transfer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5"/>
              </w:rPr>
              <w:t>Learning connects appropriately to prior learning, other contexts, disciplines, real-world applications or global/local perspectives.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4"/>
              </w:rPr>
              <w:t>☐1 ☐2 ☐3 ☐4 ☐N/O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5"/>
              </w:rPr>
            </w:r>
          </w:p>
        </w:tc>
      </w:tr>
      <w:tr>
        <w:trPr>
          <w:cantSplit w:val="1"/>
        </w:trPr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  <w:shd w:fill="F4F7F9"/>
          </w:tcPr>
          <w:p>
            <w:r>
              <w:rPr>
                <w:b/>
                <w:sz w:val="15"/>
              </w:rPr>
              <w:t>Learning environment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5"/>
              </w:rPr>
              <w:t>Relationships, routines and expectations create psychological safety, respect, inclusion and productive learning time.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4"/>
              </w:rPr>
              <w:t>☐1 ☐2 ☐3 ☐4 ☐N/O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5"/>
              </w:rPr>
            </w:r>
          </w:p>
        </w:tc>
      </w:tr>
      <w:tr>
        <w:trPr>
          <w:cantSplit w:val="1"/>
        </w:trPr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  <w:shd w:fill="F4F7F9"/>
          </w:tcPr>
          <w:p>
            <w:r>
              <w:rPr>
                <w:b/>
                <w:sz w:val="15"/>
              </w:rPr>
              <w:t>Student evidence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5"/>
              </w:rPr>
              <w:t>Student responses, products, discussion or performance provide credible evidence that meaningful learning is taking place.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4"/>
              </w:rPr>
              <w:t>☐1 ☐2 ☐3 ☐4 ☐N/O</w:t>
            </w:r>
          </w:p>
        </w:tc>
        <w:tc>
          <w:tcPr>
            <w:tcW w:type="dxa" w:w="2700"/>
            <w:tcMar>
              <w:top w:w="70" w:type="dxa"/>
              <w:start w:w="75" w:type="dxa"/>
              <w:bottom w:w="70" w:type="dxa"/>
              <w:end w:w="75" w:type="dxa"/>
            </w:tcMar>
            <w:vAlign w:val="center"/>
          </w:tcPr>
          <w:p>
            <w:r>
              <w:rPr>
                <w:sz w:val="15"/>
              </w:rPr>
            </w:r>
          </w:p>
        </w:tc>
      </w:tr>
    </w:tbl>
    <w:p/>
    <w:p>
      <w:pPr>
        <w:pStyle w:val="Heading1"/>
      </w:pPr>
      <w:r>
        <w:t>Programme-specific lens — use only the relevant section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cantSplit w:val="1"/>
        </w:trPr>
        <w:tc>
          <w:tcPr>
            <w:tcW w:type="dxa" w:w="3600"/>
            <w:shd w:fill="315B7D"/>
          </w:tcPr>
          <w:p>
            <w:r>
              <w:rPr>
                <w:b/>
                <w:color w:val="FFFFFF"/>
                <w:sz w:val="16"/>
              </w:rPr>
              <w:t>Programme</w:t>
            </w:r>
          </w:p>
        </w:tc>
        <w:tc>
          <w:tcPr>
            <w:tcW w:type="dxa" w:w="3600"/>
            <w:shd w:fill="315B7D"/>
          </w:tcPr>
          <w:p>
            <w:r>
              <w:rPr>
                <w:b/>
                <w:color w:val="FFFFFF"/>
                <w:sz w:val="16"/>
              </w:rPr>
              <w:t>Optional prompts</w:t>
            </w:r>
          </w:p>
        </w:tc>
        <w:tc>
          <w:tcPr>
            <w:tcW w:type="dxa" w:w="3600"/>
            <w:shd w:fill="315B7D"/>
          </w:tcPr>
          <w:p>
            <w:r>
              <w:rPr>
                <w:b/>
                <w:color w:val="FFFFFF"/>
                <w:sz w:val="16"/>
              </w:rPr>
              <w:t>Evidence / notes</w:t>
            </w:r>
          </w:p>
        </w:tc>
      </w:tr>
      <w:tr>
        <w:trPr>
          <w:cantSplit w:val="1"/>
        </w:trPr>
        <w:tc>
          <w:tcPr>
            <w:tcW w:type="dxa" w:w="3600"/>
            <w:shd w:fill="F4F7F9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b/>
                <w:sz w:val="15"/>
              </w:rPr>
              <w:t>PYP</w:t>
            </w:r>
          </w:p>
        </w:tc>
        <w:tc>
          <w:tcPr>
            <w:tcW w:type="dxa" w:w="3600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sz w:val="15"/>
              </w:rPr>
              <w:t>Transdisciplinary connections where appropriate; key concepts; learner agency; action; play/inquiry in early years; student voice and reflection.</w:t>
            </w:r>
          </w:p>
        </w:tc>
        <w:tc>
          <w:tcPr>
            <w:tcW w:type="dxa" w:w="3600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sz w:val="15"/>
              </w:rPr>
            </w:r>
          </w:p>
        </w:tc>
      </w:tr>
      <w:tr>
        <w:trPr>
          <w:cantSplit w:val="1"/>
        </w:trPr>
        <w:tc>
          <w:tcPr>
            <w:tcW w:type="dxa" w:w="3600"/>
            <w:shd w:fill="F4F7F9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b/>
                <w:sz w:val="15"/>
              </w:rPr>
              <w:t>MYP</w:t>
            </w:r>
          </w:p>
        </w:tc>
        <w:tc>
          <w:tcPr>
            <w:tcW w:type="dxa" w:w="3600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sz w:val="15"/>
              </w:rPr>
              <w:t>Conceptual understanding; global context where meaningful; statement of inquiry/inquiry questions where applicable; ATL; subject-group objectives/criteria; interdisciplinary transfer.</w:t>
            </w:r>
          </w:p>
        </w:tc>
        <w:tc>
          <w:tcPr>
            <w:tcW w:type="dxa" w:w="3600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sz w:val="15"/>
              </w:rPr>
            </w:r>
          </w:p>
        </w:tc>
      </w:tr>
      <w:tr>
        <w:trPr>
          <w:cantSplit w:val="1"/>
        </w:trPr>
        <w:tc>
          <w:tcPr>
            <w:tcW w:type="dxa" w:w="3600"/>
            <w:shd w:fill="F4F7F9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b/>
                <w:sz w:val="15"/>
              </w:rPr>
              <w:t>DP</w:t>
            </w:r>
          </w:p>
        </w:tc>
        <w:tc>
          <w:tcPr>
            <w:tcW w:type="dxa" w:w="3600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sz w:val="15"/>
              </w:rPr>
              <w:t>Disciplinary depth and conceptual understanding; inquiry and independent thinking; course objectives/assessment alignment; academic integrity; appropriate connections to TOK/CAS/real-world contexts where relevant.</w:t>
            </w:r>
          </w:p>
        </w:tc>
        <w:tc>
          <w:tcPr>
            <w:tcW w:type="dxa" w:w="3600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sz w:val="15"/>
              </w:rPr>
            </w:r>
          </w:p>
        </w:tc>
      </w:tr>
    </w:tbl>
    <w:p/>
    <w:p>
      <w:pPr>
        <w:pStyle w:val="Heading1"/>
      </w:pPr>
      <w:r>
        <w:t>Subject and phase adaptation prompts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blHeader w:val="true"/>
          <w:cantSplit w:val="1"/>
        </w:trPr>
        <w:tc>
          <w:tcPr>
            <w:tcW w:type="dxa" w:w="3600"/>
            <w:shd w:fill="315B7D"/>
          </w:tcPr>
          <w:p>
            <w:r>
              <w:rPr>
                <w:b/>
                <w:color w:val="FFFFFF"/>
                <w:sz w:val="16"/>
              </w:rPr>
              <w:t>Subject / phase lens</w:t>
            </w:r>
          </w:p>
        </w:tc>
        <w:tc>
          <w:tcPr>
            <w:tcW w:type="dxa" w:w="3600"/>
            <w:shd w:fill="315B7D"/>
          </w:tcPr>
          <w:p>
            <w:r>
              <w:rPr>
                <w:b/>
                <w:color w:val="FFFFFF"/>
                <w:sz w:val="16"/>
              </w:rPr>
              <w:t>Optional evidence prompts</w:t>
            </w:r>
          </w:p>
        </w:tc>
        <w:tc>
          <w:tcPr>
            <w:tcW w:type="dxa" w:w="3600"/>
            <w:shd w:fill="315B7D"/>
          </w:tcPr>
          <w:p>
            <w:r>
              <w:rPr>
                <w:b/>
                <w:color w:val="FFFFFF"/>
                <w:sz w:val="16"/>
              </w:rPr>
              <w:t>Notes</w:t>
            </w:r>
          </w:p>
        </w:tc>
      </w:tr>
      <w:tr>
        <w:trPr>
          <w:cantSplit w:val="1"/>
        </w:trPr>
        <w:tc>
          <w:tcPr>
            <w:tcW w:type="dxa" w:w="3600"/>
            <w:tcMar>
              <w:top w:w="70" w:type="dxa"/>
              <w:start w:w="75" w:type="dxa"/>
              <w:bottom w:w="70" w:type="dxa"/>
              <w:end w:w="75" w:type="dxa"/>
            </w:tcMar>
            <w:shd w:fill="F4F7F9"/>
          </w:tcPr>
          <w:p>
            <w:r>
              <w:rPr>
                <w:b/>
                <w:sz w:val="15"/>
              </w:rPr>
              <w:t>Languages</w:t>
            </w:r>
          </w:p>
        </w:tc>
        <w:tc>
          <w:tcPr>
            <w:tcW w:type="dxa" w:w="3600"/>
            <w:tcMar>
              <w:top w:w="70" w:type="dxa"/>
              <w:start w:w="75" w:type="dxa"/>
              <w:bottom w:w="70" w:type="dxa"/>
              <w:end w:w="75" w:type="dxa"/>
            </w:tcMar>
          </w:tcPr>
          <w:p>
            <w:r>
              <w:rPr>
                <w:sz w:val="15"/>
              </w:rPr>
              <w:t>Meaningful communication; reading/writing/speaking/listening balance; language scaffolds; authentic texts; cultural/linguistic perspectives.</w:t>
            </w:r>
          </w:p>
        </w:tc>
        <w:tc>
          <w:tcPr>
            <w:tcW w:type="dxa" w:w="3600"/>
            <w:tcMar>
              <w:top w:w="70" w:type="dxa"/>
              <w:start w:w="75" w:type="dxa"/>
              <w:bottom w:w="70" w:type="dxa"/>
              <w:end w:w="75" w:type="dxa"/>
            </w:tcMar>
          </w:tcPr>
          <w:p>
            <w:r>
              <w:rPr>
                <w:sz w:val="15"/>
              </w:rPr>
            </w:r>
          </w:p>
        </w:tc>
      </w:tr>
      <w:tr>
        <w:trPr>
          <w:cantSplit w:val="1"/>
        </w:trPr>
        <w:tc>
          <w:tcPr>
            <w:tcW w:type="dxa" w:w="3600"/>
            <w:tcMar>
              <w:top w:w="70" w:type="dxa"/>
              <w:start w:w="75" w:type="dxa"/>
              <w:bottom w:w="70" w:type="dxa"/>
              <w:end w:w="75" w:type="dxa"/>
            </w:tcMar>
            <w:shd w:fill="F4F7F9"/>
          </w:tcPr>
          <w:p>
            <w:r>
              <w:rPr>
                <w:b/>
                <w:sz w:val="15"/>
              </w:rPr>
              <w:t>Mathematics</w:t>
            </w:r>
          </w:p>
        </w:tc>
        <w:tc>
          <w:tcPr>
            <w:tcW w:type="dxa" w:w="3600"/>
            <w:tcMar>
              <w:top w:w="70" w:type="dxa"/>
              <w:start w:w="75" w:type="dxa"/>
              <w:bottom w:w="70" w:type="dxa"/>
              <w:end w:w="75" w:type="dxa"/>
            </w:tcMar>
          </w:tcPr>
          <w:p>
            <w:r>
              <w:rPr>
                <w:sz w:val="15"/>
              </w:rPr>
              <w:t>Reasoning, representation, conceptual connections, problem solving, multiple strategies, explanation of thinking.</w:t>
            </w:r>
          </w:p>
        </w:tc>
        <w:tc>
          <w:tcPr>
            <w:tcW w:type="dxa" w:w="3600"/>
            <w:tcMar>
              <w:top w:w="70" w:type="dxa"/>
              <w:start w:w="75" w:type="dxa"/>
              <w:bottom w:w="70" w:type="dxa"/>
              <w:end w:w="75" w:type="dxa"/>
            </w:tcMar>
          </w:tcPr>
          <w:p>
            <w:r>
              <w:rPr>
                <w:sz w:val="15"/>
              </w:rPr>
            </w:r>
          </w:p>
        </w:tc>
      </w:tr>
      <w:tr>
        <w:trPr>
          <w:cantSplit w:val="1"/>
        </w:trPr>
        <w:tc>
          <w:tcPr>
            <w:tcW w:type="dxa" w:w="3600"/>
            <w:tcMar>
              <w:top w:w="70" w:type="dxa"/>
              <w:start w:w="75" w:type="dxa"/>
              <w:bottom w:w="70" w:type="dxa"/>
              <w:end w:w="75" w:type="dxa"/>
            </w:tcMar>
            <w:shd w:fill="F4F7F9"/>
          </w:tcPr>
          <w:p>
            <w:r>
              <w:rPr>
                <w:b/>
                <w:sz w:val="15"/>
              </w:rPr>
              <w:t>Sciences</w:t>
            </w:r>
          </w:p>
        </w:tc>
        <w:tc>
          <w:tcPr>
            <w:tcW w:type="dxa" w:w="3600"/>
            <w:tcMar>
              <w:top w:w="70" w:type="dxa"/>
              <w:start w:w="75" w:type="dxa"/>
              <w:bottom w:w="70" w:type="dxa"/>
              <w:end w:w="75" w:type="dxa"/>
            </w:tcMar>
          </w:tcPr>
          <w:p>
            <w:r>
              <w:rPr>
                <w:sz w:val="15"/>
              </w:rPr>
              <w:t>Inquiry, prediction, evidence, practical investigation, scientific reasoning, data interpretation, safety.</w:t>
            </w:r>
          </w:p>
        </w:tc>
        <w:tc>
          <w:tcPr>
            <w:tcW w:type="dxa" w:w="3600"/>
            <w:tcMar>
              <w:top w:w="70" w:type="dxa"/>
              <w:start w:w="75" w:type="dxa"/>
              <w:bottom w:w="70" w:type="dxa"/>
              <w:end w:w="75" w:type="dxa"/>
            </w:tcMar>
          </w:tcPr>
          <w:p>
            <w:r>
              <w:rPr>
                <w:sz w:val="15"/>
              </w:rPr>
            </w:r>
          </w:p>
        </w:tc>
      </w:tr>
      <w:tr>
        <w:trPr>
          <w:cantSplit w:val="1"/>
        </w:trPr>
        <w:tc>
          <w:tcPr>
            <w:tcW w:type="dxa" w:w="3600"/>
            <w:tcMar>
              <w:top w:w="70" w:type="dxa"/>
              <w:start w:w="75" w:type="dxa"/>
              <w:bottom w:w="70" w:type="dxa"/>
              <w:end w:w="75" w:type="dxa"/>
            </w:tcMar>
            <w:shd w:fill="F4F7F9"/>
          </w:tcPr>
          <w:p>
            <w:r>
              <w:rPr>
                <w:b/>
                <w:sz w:val="15"/>
              </w:rPr>
              <w:t>Individuals &amp; Societies / Humanities</w:t>
            </w:r>
          </w:p>
        </w:tc>
        <w:tc>
          <w:tcPr>
            <w:tcW w:type="dxa" w:w="3600"/>
            <w:tcMar>
              <w:top w:w="70" w:type="dxa"/>
              <w:start w:w="75" w:type="dxa"/>
              <w:bottom w:w="70" w:type="dxa"/>
              <w:end w:w="75" w:type="dxa"/>
            </w:tcMar>
          </w:tcPr>
          <w:p>
            <w:r>
              <w:rPr>
                <w:sz w:val="15"/>
              </w:rPr>
              <w:t>Source use, perspective, evidence-based argument, chronology/context, interpretation, ethical/global perspectives.</w:t>
            </w:r>
          </w:p>
        </w:tc>
        <w:tc>
          <w:tcPr>
            <w:tcW w:type="dxa" w:w="3600"/>
            <w:tcMar>
              <w:top w:w="70" w:type="dxa"/>
              <w:start w:w="75" w:type="dxa"/>
              <w:bottom w:w="70" w:type="dxa"/>
              <w:end w:w="75" w:type="dxa"/>
            </w:tcMar>
          </w:tcPr>
          <w:p>
            <w:r>
              <w:rPr>
                <w:sz w:val="15"/>
              </w:rPr>
            </w:r>
          </w:p>
        </w:tc>
      </w:tr>
      <w:tr>
        <w:trPr>
          <w:cantSplit w:val="1"/>
        </w:trPr>
        <w:tc>
          <w:tcPr>
            <w:tcW w:type="dxa" w:w="3600"/>
            <w:tcMar>
              <w:top w:w="70" w:type="dxa"/>
              <w:start w:w="75" w:type="dxa"/>
              <w:bottom w:w="70" w:type="dxa"/>
              <w:end w:w="75" w:type="dxa"/>
            </w:tcMar>
            <w:shd w:fill="F4F7F9"/>
          </w:tcPr>
          <w:p>
            <w:r>
              <w:rPr>
                <w:b/>
                <w:sz w:val="15"/>
              </w:rPr>
              <w:t>Arts / Design</w:t>
            </w:r>
          </w:p>
        </w:tc>
        <w:tc>
          <w:tcPr>
            <w:tcW w:type="dxa" w:w="3600"/>
            <w:tcMar>
              <w:top w:w="70" w:type="dxa"/>
              <w:start w:w="75" w:type="dxa"/>
              <w:bottom w:w="70" w:type="dxa"/>
              <w:end w:w="75" w:type="dxa"/>
            </w:tcMar>
          </w:tcPr>
          <w:p>
            <w:r>
              <w:rPr>
                <w:sz w:val="15"/>
              </w:rPr>
              <w:t>Creative process, technique, iteration, critique, reflection, design cycle/process where applicable.</w:t>
            </w:r>
          </w:p>
        </w:tc>
        <w:tc>
          <w:tcPr>
            <w:tcW w:type="dxa" w:w="3600"/>
            <w:tcMar>
              <w:top w:w="70" w:type="dxa"/>
              <w:start w:w="75" w:type="dxa"/>
              <w:bottom w:w="70" w:type="dxa"/>
              <w:end w:w="75" w:type="dxa"/>
            </w:tcMar>
          </w:tcPr>
          <w:p>
            <w:r>
              <w:rPr>
                <w:sz w:val="15"/>
              </w:rPr>
            </w:r>
          </w:p>
        </w:tc>
      </w:tr>
      <w:tr>
        <w:trPr>
          <w:cantSplit w:val="1"/>
        </w:trPr>
        <w:tc>
          <w:tcPr>
            <w:tcW w:type="dxa" w:w="3600"/>
            <w:tcMar>
              <w:top w:w="70" w:type="dxa"/>
              <w:start w:w="75" w:type="dxa"/>
              <w:bottom w:w="70" w:type="dxa"/>
              <w:end w:w="75" w:type="dxa"/>
            </w:tcMar>
            <w:shd w:fill="F4F7F9"/>
          </w:tcPr>
          <w:p>
            <w:r>
              <w:rPr>
                <w:b/>
                <w:sz w:val="15"/>
              </w:rPr>
              <w:t>PE / Wellbeing</w:t>
            </w:r>
          </w:p>
        </w:tc>
        <w:tc>
          <w:tcPr>
            <w:tcW w:type="dxa" w:w="3600"/>
            <w:tcMar>
              <w:top w:w="70" w:type="dxa"/>
              <w:start w:w="75" w:type="dxa"/>
              <w:bottom w:w="70" w:type="dxa"/>
              <w:end w:w="75" w:type="dxa"/>
            </w:tcMar>
          </w:tcPr>
          <w:p>
            <w:r>
              <w:rPr>
                <w:sz w:val="15"/>
              </w:rPr>
              <w:t>Physical engagement, skill progression, safety, teamwork, reflection, personal/social responsibility.</w:t>
            </w:r>
          </w:p>
        </w:tc>
        <w:tc>
          <w:tcPr>
            <w:tcW w:type="dxa" w:w="3600"/>
            <w:tcMar>
              <w:top w:w="70" w:type="dxa"/>
              <w:start w:w="75" w:type="dxa"/>
              <w:bottom w:w="70" w:type="dxa"/>
              <w:end w:w="75" w:type="dxa"/>
            </w:tcMar>
          </w:tcPr>
          <w:p>
            <w:r>
              <w:rPr>
                <w:sz w:val="15"/>
              </w:rPr>
            </w:r>
          </w:p>
        </w:tc>
      </w:tr>
      <w:tr>
        <w:trPr>
          <w:cantSplit w:val="1"/>
        </w:trPr>
        <w:tc>
          <w:tcPr>
            <w:tcW w:type="dxa" w:w="3600"/>
            <w:tcMar>
              <w:top w:w="70" w:type="dxa"/>
              <w:start w:w="75" w:type="dxa"/>
              <w:bottom w:w="70" w:type="dxa"/>
              <w:end w:w="75" w:type="dxa"/>
            </w:tcMar>
            <w:shd w:fill="F4F7F9"/>
          </w:tcPr>
          <w:p>
            <w:r>
              <w:rPr>
                <w:b/>
                <w:sz w:val="15"/>
              </w:rPr>
              <w:t>Technology / Computing</w:t>
            </w:r>
          </w:p>
        </w:tc>
        <w:tc>
          <w:tcPr>
            <w:tcW w:type="dxa" w:w="3600"/>
            <w:tcMar>
              <w:top w:w="70" w:type="dxa"/>
              <w:start w:w="75" w:type="dxa"/>
              <w:bottom w:w="70" w:type="dxa"/>
              <w:end w:w="75" w:type="dxa"/>
            </w:tcMar>
          </w:tcPr>
          <w:p>
            <w:r>
              <w:rPr>
                <w:sz w:val="15"/>
              </w:rPr>
              <w:t>Problem solving, computational/design thinking, creation rather than passive tool use, responsible digital practice.</w:t>
            </w:r>
          </w:p>
        </w:tc>
        <w:tc>
          <w:tcPr>
            <w:tcW w:type="dxa" w:w="3600"/>
            <w:tcMar>
              <w:top w:w="70" w:type="dxa"/>
              <w:start w:w="75" w:type="dxa"/>
              <w:bottom w:w="70" w:type="dxa"/>
              <w:end w:w="75" w:type="dxa"/>
            </w:tcMar>
          </w:tcPr>
          <w:p>
            <w:r>
              <w:rPr>
                <w:sz w:val="15"/>
              </w:rPr>
            </w:r>
          </w:p>
        </w:tc>
      </w:tr>
      <w:tr>
        <w:trPr>
          <w:cantSplit w:val="1"/>
        </w:trPr>
        <w:tc>
          <w:tcPr>
            <w:tcW w:type="dxa" w:w="3600"/>
            <w:tcMar>
              <w:top w:w="70" w:type="dxa"/>
              <w:start w:w="75" w:type="dxa"/>
              <w:bottom w:w="70" w:type="dxa"/>
              <w:end w:w="75" w:type="dxa"/>
            </w:tcMar>
            <w:shd w:fill="F4F7F9"/>
          </w:tcPr>
          <w:p>
            <w:r>
              <w:rPr>
                <w:b/>
                <w:sz w:val="15"/>
              </w:rPr>
              <w:t>Early Years / Primary</w:t>
            </w:r>
          </w:p>
        </w:tc>
        <w:tc>
          <w:tcPr>
            <w:tcW w:type="dxa" w:w="3600"/>
            <w:tcMar>
              <w:top w:w="70" w:type="dxa"/>
              <w:start w:w="75" w:type="dxa"/>
              <w:bottom w:w="70" w:type="dxa"/>
              <w:end w:w="75" w:type="dxa"/>
            </w:tcMar>
          </w:tcPr>
          <w:p>
            <w:r>
              <w:rPr>
                <w:sz w:val="15"/>
              </w:rPr>
              <w:t>Developmentally appropriate inquiry, play, talk, movement, manipulatives, agency, routines and visible learning.</w:t>
            </w:r>
          </w:p>
        </w:tc>
        <w:tc>
          <w:tcPr>
            <w:tcW w:type="dxa" w:w="3600"/>
            <w:tcMar>
              <w:top w:w="70" w:type="dxa"/>
              <w:start w:w="75" w:type="dxa"/>
              <w:bottom w:w="70" w:type="dxa"/>
              <w:end w:w="75" w:type="dxa"/>
            </w:tcMar>
          </w:tcPr>
          <w:p>
            <w:r>
              <w:rPr>
                <w:sz w:val="15"/>
              </w:rPr>
            </w:r>
          </w:p>
        </w:tc>
      </w:tr>
    </w:tbl>
    <w:p/>
    <w:p>
      <w:pPr>
        <w:pStyle w:val="Heading1"/>
      </w:pPr>
      <w:r>
        <w:t>Observation summary and professional dialogue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400"/>
        <w:gridCol w:w="5400"/>
      </w:tblGrid>
      <w:tr>
        <w:trPr>
          <w:cantSplit w:val="1"/>
        </w:trPr>
        <w:tc>
          <w:tcPr>
            <w:tcW w:type="dxa" w:w="5400"/>
            <w:shd w:fill="17324D"/>
          </w:tcPr>
          <w:p>
            <w:r>
              <w:rPr>
                <w:b/>
                <w:color w:val="FFFFFF"/>
                <w:sz w:val="16"/>
              </w:rPr>
              <w:t>Prompt</w:t>
            </w:r>
          </w:p>
        </w:tc>
        <w:tc>
          <w:tcPr>
            <w:tcW w:type="dxa" w:w="5400"/>
            <w:shd w:fill="17324D"/>
          </w:tcPr>
          <w:p>
            <w:r>
              <w:rPr>
                <w:b/>
                <w:color w:val="FFFFFF"/>
                <w:sz w:val="16"/>
              </w:rPr>
              <w:t>Record</w:t>
            </w:r>
          </w:p>
        </w:tc>
      </w:tr>
      <w:tr>
        <w:trPr>
          <w:cantSplit w:val="1"/>
        </w:trPr>
        <w:tc>
          <w:tcPr>
            <w:tcW w:type="dxa" w:w="5400"/>
            <w:shd w:fill="F4F7F9"/>
            <w:tcMar>
              <w:top w:w="80" w:type="dxa"/>
              <w:start w:w="85" w:type="dxa"/>
              <w:bottom w:w="80" w:type="dxa"/>
              <w:end w:w="85" w:type="dxa"/>
            </w:tcMar>
          </w:tcPr>
          <w:p>
            <w:r>
              <w:rPr>
                <w:b/>
                <w:sz w:val="15"/>
              </w:rPr>
              <w:t>Strongest evidence of student learning</w:t>
              <w:br/>
              <w:t>What did students say, do, create, solve, explain or demonstrate?</w:t>
            </w:r>
          </w:p>
        </w:tc>
        <w:tc>
          <w:tcPr>
            <w:tcW w:type="dxa" w:w="5400"/>
            <w:tcMar>
              <w:top w:w="80" w:type="dxa"/>
              <w:start w:w="85" w:type="dxa"/>
              <w:bottom w:w="80" w:type="dxa"/>
              <w:end w:w="85" w:type="dxa"/>
            </w:tcMar>
          </w:tcPr>
          <w:p>
            <w:r>
              <w:br/>
              <w:br/>
            </w:r>
          </w:p>
        </w:tc>
      </w:tr>
      <w:tr>
        <w:trPr>
          <w:cantSplit w:val="1"/>
        </w:trPr>
        <w:tc>
          <w:tcPr>
            <w:tcW w:type="dxa" w:w="5400"/>
            <w:shd w:fill="F4F7F9"/>
            <w:tcMar>
              <w:top w:w="80" w:type="dxa"/>
              <w:start w:w="85" w:type="dxa"/>
              <w:bottom w:w="80" w:type="dxa"/>
              <w:end w:w="85" w:type="dxa"/>
            </w:tcMar>
          </w:tcPr>
          <w:p>
            <w:r>
              <w:rPr>
                <w:b/>
                <w:sz w:val="15"/>
              </w:rPr>
              <w:t>Effective practice to retain</w:t>
              <w:br/>
              <w:t>Identify one or two practices that should continue.</w:t>
            </w:r>
          </w:p>
        </w:tc>
        <w:tc>
          <w:tcPr>
            <w:tcW w:type="dxa" w:w="5400"/>
            <w:tcMar>
              <w:top w:w="80" w:type="dxa"/>
              <w:start w:w="85" w:type="dxa"/>
              <w:bottom w:w="80" w:type="dxa"/>
              <w:end w:w="85" w:type="dxa"/>
            </w:tcMar>
          </w:tcPr>
          <w:p>
            <w:r>
              <w:br/>
              <w:br/>
            </w:r>
          </w:p>
        </w:tc>
      </w:tr>
      <w:tr>
        <w:trPr>
          <w:cantSplit w:val="1"/>
        </w:trPr>
        <w:tc>
          <w:tcPr>
            <w:tcW w:type="dxa" w:w="5400"/>
            <w:shd w:fill="F4F7F9"/>
            <w:tcMar>
              <w:top w:w="80" w:type="dxa"/>
              <w:start w:w="85" w:type="dxa"/>
              <w:bottom w:w="80" w:type="dxa"/>
              <w:end w:w="85" w:type="dxa"/>
            </w:tcMar>
          </w:tcPr>
          <w:p>
            <w:r>
              <w:rPr>
                <w:b/>
                <w:sz w:val="15"/>
              </w:rPr>
              <w:t>Priority next step</w:t>
              <w:br/>
              <w:t>Choose one manageable improvement rather than a long list.</w:t>
            </w:r>
          </w:p>
        </w:tc>
        <w:tc>
          <w:tcPr>
            <w:tcW w:type="dxa" w:w="5400"/>
            <w:tcMar>
              <w:top w:w="80" w:type="dxa"/>
              <w:start w:w="85" w:type="dxa"/>
              <w:bottom w:w="80" w:type="dxa"/>
              <w:end w:w="85" w:type="dxa"/>
            </w:tcMar>
          </w:tcPr>
          <w:p>
            <w:r>
              <w:br/>
              <w:br/>
            </w:r>
          </w:p>
        </w:tc>
      </w:tr>
      <w:tr>
        <w:trPr>
          <w:cantSplit w:val="1"/>
        </w:trPr>
        <w:tc>
          <w:tcPr>
            <w:tcW w:type="dxa" w:w="5400"/>
            <w:shd w:fill="F4F7F9"/>
            <w:tcMar>
              <w:top w:w="80" w:type="dxa"/>
              <w:start w:w="85" w:type="dxa"/>
              <w:bottom w:w="80" w:type="dxa"/>
              <w:end w:w="85" w:type="dxa"/>
            </w:tcMar>
          </w:tcPr>
          <w:p>
            <w:r>
              <w:rPr>
                <w:b/>
                <w:sz w:val="15"/>
              </w:rPr>
              <w:t>Support / coaching required</w:t>
              <w:br/>
              <w:t>Resources, modelling, co-planning, peer observation or professional learning.</w:t>
            </w:r>
          </w:p>
        </w:tc>
        <w:tc>
          <w:tcPr>
            <w:tcW w:type="dxa" w:w="5400"/>
            <w:tcMar>
              <w:top w:w="80" w:type="dxa"/>
              <w:start w:w="85" w:type="dxa"/>
              <w:bottom w:w="80" w:type="dxa"/>
              <w:end w:w="85" w:type="dxa"/>
            </w:tcMar>
          </w:tcPr>
          <w:p>
            <w:r>
              <w:br/>
              <w:br/>
            </w:r>
          </w:p>
        </w:tc>
      </w:tr>
      <w:tr>
        <w:trPr>
          <w:cantSplit w:val="1"/>
        </w:trPr>
        <w:tc>
          <w:tcPr>
            <w:tcW w:type="dxa" w:w="5400"/>
            <w:shd w:fill="F4F7F9"/>
            <w:tcMar>
              <w:top w:w="80" w:type="dxa"/>
              <w:start w:w="85" w:type="dxa"/>
              <w:bottom w:w="80" w:type="dxa"/>
              <w:end w:w="85" w:type="dxa"/>
            </w:tcMar>
          </w:tcPr>
          <w:p>
            <w:r>
              <w:rPr>
                <w:b/>
                <w:sz w:val="15"/>
              </w:rPr>
              <w:t>Teacher reflection</w:t>
              <w:br/>
              <w:t>What did the teacher feel worked? What would they change?</w:t>
            </w:r>
          </w:p>
        </w:tc>
        <w:tc>
          <w:tcPr>
            <w:tcW w:type="dxa" w:w="5400"/>
            <w:tcMar>
              <w:top w:w="80" w:type="dxa"/>
              <w:start w:w="85" w:type="dxa"/>
              <w:bottom w:w="80" w:type="dxa"/>
              <w:end w:w="85" w:type="dxa"/>
            </w:tcMar>
          </w:tcPr>
          <w:p>
            <w:r>
              <w:br/>
              <w:br/>
            </w:r>
          </w:p>
        </w:tc>
      </w:tr>
      <w:tr>
        <w:trPr>
          <w:cantSplit w:val="1"/>
        </w:trPr>
        <w:tc>
          <w:tcPr>
            <w:tcW w:type="dxa" w:w="5400"/>
            <w:shd w:fill="F4F7F9"/>
            <w:tcMar>
              <w:top w:w="80" w:type="dxa"/>
              <w:start w:w="85" w:type="dxa"/>
              <w:bottom w:w="80" w:type="dxa"/>
              <w:end w:w="85" w:type="dxa"/>
            </w:tcMar>
          </w:tcPr>
          <w:p>
            <w:r>
              <w:rPr>
                <w:b/>
                <w:sz w:val="15"/>
              </w:rPr>
              <w:t>Follow-up evidence</w:t>
              <w:br/>
              <w:t>What will be revisited, by when, and what evidence will indicate progress?</w:t>
            </w:r>
          </w:p>
        </w:tc>
        <w:tc>
          <w:tcPr>
            <w:tcW w:type="dxa" w:w="5400"/>
            <w:tcMar>
              <w:top w:w="80" w:type="dxa"/>
              <w:start w:w="85" w:type="dxa"/>
              <w:bottom w:w="80" w:type="dxa"/>
              <w:end w:w="85" w:type="dxa"/>
            </w:tcMar>
          </w:tcPr>
          <w:p>
            <w:r>
              <w:br/>
              <w:br/>
            </w:r>
          </w:p>
        </w:tc>
      </w:tr>
    </w:tbl>
    <w:p/>
    <w:p>
      <w:r>
        <w:rPr>
          <w:b/>
        </w:rPr>
        <w:t xml:space="preserve">Overall professional judgement: </w:t>
      </w:r>
      <w:r>
        <w:rPr>
          <w:sz w:val="18"/>
        </w:rPr>
        <w:t>☐ Immediate support</w:t>
      </w:r>
      <w:r>
        <w:rPr>
          <w:sz w:val="18"/>
        </w:rPr>
        <w:t xml:space="preserve">   ☐ Developing</w:t>
      </w:r>
      <w:r>
        <w:rPr>
          <w:sz w:val="18"/>
        </w:rPr>
        <w:t xml:space="preserve">   ☐ Secure</w:t>
      </w:r>
      <w:r>
        <w:rPr>
          <w:sz w:val="18"/>
        </w:rPr>
        <w:t xml:space="preserve">   ☐ Strong</w:t>
      </w:r>
      <w:r>
        <w:rPr>
          <w:sz w:val="18"/>
        </w:rPr>
        <w:t xml:space="preserve">   ☐ Not rated</w:t>
      </w:r>
    </w:p>
    <w:p>
      <w:r>
        <w:rPr>
          <w:sz w:val="17"/>
        </w:rPr>
        <w:t>Follow-up date: ____________________     Teacher signature: ____________________     Observer signature: ____________________</w:t>
      </w:r>
    </w:p>
    <w:p/>
    <w:p>
      <w:r>
        <w:rPr>
          <w:b/>
          <w:color w:val="5A5A5A"/>
          <w:sz w:val="15"/>
        </w:rPr>
        <w:t xml:space="preserve">Use note: </w:t>
      </w:r>
      <w:r>
        <w:rPr>
          <w:color w:val="5A5A5A"/>
          <w:sz w:val="15"/>
        </w:rPr>
        <w:t>This form is designed for developmental observation and evidence-led professional dialogue. It should be adapted to the school’s policy, programme requirements and local employment/appraisal procedures. A single observed lesson should not be treated as a complete judgement of teacher effectiveness.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648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6464"/>
        <w:sz w:val="15"/>
      </w:rPr>
      <w:t>IB Lesson Observation Form  •  Evidence before judgement  •  dranupsharma.com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b/>
        <w:color w:val="5A5A5A"/>
        <w:sz w:val="15"/>
      </w:rPr>
      <w:t>DR ANUP SHARMA • TEACHER DEVELOPMENT RESOURCE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" w:hAnsi="Aptos"/>
      <w:b/>
      <w:bCs/>
      <w:color w:val="17324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" w:hAnsi="Aptos"/>
      <w:b/>
      <w:bCs/>
      <w:color w:val="315B7D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17324D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