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Homework Policy for Schools</w:t>
      </w:r>
    </w:p>
    <w:p>
      <w:r>
        <w:rPr>
          <w:b/>
          <w:sz w:val="22"/>
        </w:rPr>
        <w:t>Purpose, frequency, quality, workload and parent expectations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ensure homework has a clear learning purpose and does not become routine workload without educational value.</w:t>
      </w:r>
    </w:p>
    <w:p>
      <w:pPr>
        <w:pStyle w:val="Heading1"/>
      </w:pPr>
      <w:r>
        <w:t>Scope</w:t>
      </w:r>
    </w:p>
    <w:p>
      <w:r>
        <w:t>Applies to home learning, practice, reading, preparation and extension tasks assigned outside normal lessons.</w:t>
      </w:r>
    </w:p>
    <w:p>
      <w:pPr>
        <w:pStyle w:val="Heading1"/>
      </w:pPr>
      <w:r>
        <w:t>Policy Principles</w:t>
      </w:r>
    </w:p>
    <w:p>
      <w:pPr>
        <w:pStyle w:val="ListBullet"/>
      </w:pPr>
      <w:r>
        <w:t>Homework should reinforce, prepare or extend learning.</w:t>
      </w:r>
    </w:p>
    <w:p>
      <w:pPr>
        <w:pStyle w:val="ListBullet"/>
      </w:pPr>
      <w:r>
        <w:t>Volume and complexity should be age appropriate.</w:t>
      </w:r>
    </w:p>
    <w:p>
      <w:pPr>
        <w:pStyle w:val="ListBullet"/>
      </w:pPr>
      <w:r>
        <w:t>Teachers should coordinate major tasks to avoid unnecessary workload peaks.</w:t>
      </w:r>
    </w:p>
    <w:p>
      <w:pPr>
        <w:pStyle w:val="ListBullet"/>
      </w:pPr>
      <w:r>
        <w:t>Students should understand the purpose and expected completion standard.</w:t>
      </w:r>
    </w:p>
    <w:p>
      <w:pPr>
        <w:pStyle w:val="ListBullet"/>
      </w:pPr>
      <w:r>
        <w:t>Feedback should be proportionate to the task.</w:t>
      </w:r>
    </w:p>
    <w:p>
      <w:pPr>
        <w:pStyle w:val="Heading1"/>
      </w:pPr>
      <w:r>
        <w:t>Age and Stage Guidance</w:t>
      </w:r>
    </w:p>
    <w:p>
      <w:pPr>
        <w:pStyle w:val="ListBullet"/>
      </w:pPr>
      <w:r>
        <w:t>Early Years: prioritise reading, conversation, play and family-supported experiences rather than formal written workload.</w:t>
      </w:r>
    </w:p>
    <w:p>
      <w:pPr>
        <w:pStyle w:val="ListBullet"/>
      </w:pPr>
      <w:r>
        <w:t>Primary: short, purposeful practice and reading.</w:t>
      </w:r>
    </w:p>
    <w:p>
      <w:pPr>
        <w:pStyle w:val="ListBullet"/>
      </w:pPr>
      <w:r>
        <w:t>Middle School: increasing independence, consolidation and preparation.</w:t>
      </w:r>
    </w:p>
    <w:p>
      <w:pPr>
        <w:pStyle w:val="ListBullet"/>
      </w:pPr>
      <w:r>
        <w:t>Senior School: planned independent study aligned with course demands.</w:t>
      </w:r>
    </w:p>
    <w:p>
      <w:pPr>
        <w:pStyle w:val="Heading1"/>
      </w:pPr>
      <w:r>
        <w:t>Parent Expectations</w:t>
      </w:r>
    </w:p>
    <w:p>
      <w:pPr>
        <w:pStyle w:val="ListBullet"/>
      </w:pPr>
      <w:r>
        <w:t>Provide reasonable routines and encouragement.</w:t>
      </w:r>
    </w:p>
    <w:p>
      <w:pPr>
        <w:pStyle w:val="ListBullet"/>
      </w:pPr>
      <w:r>
        <w:t>Avoid completing the work for the child.</w:t>
      </w:r>
    </w:p>
    <w:p>
      <w:pPr>
        <w:pStyle w:val="ListBullet"/>
      </w:pPr>
      <w:r>
        <w:t>Communicate persistent difficulty through the school rather than turning homework into conflict.</w:t>
      </w:r>
    </w:p>
    <w:p>
      <w:pPr>
        <w:pStyle w:val="Heading1"/>
      </w:pPr>
      <w:r>
        <w:t>Review</w:t>
      </w:r>
    </w:p>
    <w:p>
      <w:r>
        <w:t>Review workload evidence, student wellbeing, completion patterns and parent feedback periodically.</w:t>
      </w:r>
    </w:p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