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17324D"/>
            <w:tcMar>
              <w:top w:w="150" w:type="dxa"/>
              <w:bottom w:w="150" w:type="dxa"/>
              <w:start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CLASSROOM OBSERVATION CHECKLIST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Editable School Resource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Teacher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Observer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Class / Subject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Date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Observation Type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Duration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p>
      <w:pPr>
        <w:pStyle w:val="Heading1"/>
      </w:pPr>
      <w:r>
        <w:t>Observation dimensions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Check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Evidence / Notes</w:t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Learning purpose is clear and meaningful.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Explanation and modelling support understanding.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Questioning reveals student thinking.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Students are intellectually engaged.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Assessment for learning informs teaching.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Differentiation responds to learner need.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Classroom routines protect learning time.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Student work, talk or performance provides evidence of learning.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Feedback is specific and useful.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One high-leverage next step is identified.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dranupsharma.com  •  Editable template  •  Adapt to your school policy and context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464"/>
        <w:sz w:val="15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