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rPr>
          <w:cantSplit w:val="1"/>
        </w:trPr>
        <w:tc>
          <w:tcPr>
            <w:tcW w:type="dxa" w:w="10800"/>
            <w:shd w:fill="17324D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CBSE</w:t>
            </w:r>
          </w:p>
          <w:p>
            <w:pPr>
              <w:jc w:val="center"/>
            </w:pPr>
            <w:r>
              <w:rPr>
                <w:b/>
                <w:color w:val="FFFFFF"/>
                <w:sz w:val="44"/>
              </w:rPr>
              <w:t>LESSON OBSERVATION FORM</w:t>
            </w:r>
          </w:p>
          <w:p>
            <w:pPr>
              <w:jc w:val="center"/>
            </w:pPr>
            <w:r>
              <w:rPr>
                <w:color w:val="DCE8F2"/>
                <w:sz w:val="18"/>
              </w:rPr>
              <w:t>Universal competency-focused form for all subjects and classes • adaptable from foundational to senior secondary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cantSplit w:val="1"/>
        </w:trPr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School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Observer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Teacher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Date &amp; Time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Class / Grade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Subject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Unit / Chapter / Topic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Lesson Duration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Students Present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Observation Type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  <w:t>☐ Formal   ☐ Learning walk   ☐ Coaching   ☐ Peer</w:t>
            </w:r>
          </w:p>
        </w:tc>
      </w:tr>
      <w:tr>
        <w:trPr>
          <w:cantSplit w:val="1"/>
        </w:trPr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Programme / Stage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Lesson Context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  <w:t>☐ New learning   ☐ Practice   ☐ Application   ☐ Assessment</w:t>
            </w:r>
          </w:p>
        </w:tc>
      </w:tr>
    </w:tbl>
    <w:p/>
    <w:p>
      <w:pPr>
        <w:spacing w:after="80"/>
      </w:pPr>
      <w:r>
        <w:rPr>
          <w:b/>
          <w:color w:val="17324D"/>
        </w:rPr>
        <w:t xml:space="preserve">Observation principle: </w:t>
      </w:r>
      <w:r>
        <w:rPr>
          <w:sz w:val="18"/>
        </w:rPr>
        <w:t>Judge whether the lesson helps students understand, apply and demonstrate learning. Use the form flexibly across subjects and phases; not every indicator must be visible in every lesson.</w:t>
      </w:r>
    </w:p>
    <w:p>
      <w:pPr>
        <w:pStyle w:val="Heading2"/>
        <w:keepNext/>
      </w:pPr>
      <w:r>
        <w:t>Rating scale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</w:tblGrid>
      <w:tr>
        <w:trPr>
          <w:cantSplit w:val="1"/>
        </w:trPr>
        <w:tc>
          <w:tcPr>
            <w:tcW w:type="dxa" w:w="2160"/>
            <w:shd w:fill="D9E7F2"/>
            <w:vAlign w:val="center"/>
          </w:tcPr>
          <w:p>
            <w:r>
              <w:rPr>
                <w:b/>
                <w:sz w:val="15"/>
              </w:rPr>
              <w:t>1 • Emerging</w:t>
            </w:r>
          </w:p>
        </w:tc>
        <w:tc>
          <w:tcPr>
            <w:tcW w:type="dxa" w:w="2160"/>
            <w:shd w:fill="D9E7F2"/>
            <w:vAlign w:val="center"/>
          </w:tcPr>
          <w:p>
            <w:r>
              <w:rPr>
                <w:b/>
                <w:sz w:val="15"/>
              </w:rPr>
              <w:t>2 • Developing</w:t>
            </w:r>
          </w:p>
        </w:tc>
        <w:tc>
          <w:tcPr>
            <w:tcW w:type="dxa" w:w="2160"/>
            <w:shd w:fill="D9E7F2"/>
            <w:vAlign w:val="center"/>
          </w:tcPr>
          <w:p>
            <w:r>
              <w:rPr>
                <w:b/>
                <w:sz w:val="15"/>
              </w:rPr>
              <w:t>3 • Secure</w:t>
            </w:r>
          </w:p>
        </w:tc>
        <w:tc>
          <w:tcPr>
            <w:tcW w:type="dxa" w:w="2160"/>
            <w:shd w:fill="D9E7F2"/>
            <w:vAlign w:val="center"/>
          </w:tcPr>
          <w:p>
            <w:r>
              <w:rPr>
                <w:b/>
                <w:sz w:val="15"/>
              </w:rPr>
              <w:t>4 • Strong</w:t>
            </w:r>
          </w:p>
        </w:tc>
        <w:tc>
          <w:tcPr>
            <w:tcW w:type="dxa" w:w="2160"/>
            <w:shd w:fill="D9E7F2"/>
            <w:vAlign w:val="center"/>
          </w:tcPr>
          <w:p>
            <w:r>
              <w:rPr>
                <w:b/>
                <w:sz w:val="15"/>
              </w:rPr>
              <w:t>N/O • Not observed / N/A</w:t>
            </w:r>
          </w:p>
        </w:tc>
      </w:tr>
      <w:tr>
        <w:trPr>
          <w:cantSplit w:val="1"/>
        </w:trPr>
        <w:tc>
          <w:tcPr>
            <w:tcW w:type="dxa" w:w="2160"/>
          </w:tcPr>
          <w:p>
            <w:r>
              <w:rPr>
                <w:sz w:val="14"/>
              </w:rPr>
              <w:t>Practice is limited, inconsistent or requires immediate support.</w:t>
            </w:r>
          </w:p>
        </w:tc>
        <w:tc>
          <w:tcPr>
            <w:tcW w:type="dxa" w:w="2160"/>
          </w:tcPr>
          <w:p>
            <w:r>
              <w:rPr>
                <w:sz w:val="14"/>
              </w:rPr>
              <w:t>Some effective practice is visible but not yet reliable.</w:t>
            </w:r>
          </w:p>
        </w:tc>
        <w:tc>
          <w:tcPr>
            <w:tcW w:type="dxa" w:w="2160"/>
          </w:tcPr>
          <w:p>
            <w:r>
              <w:rPr>
                <w:sz w:val="14"/>
              </w:rPr>
              <w:t>Practice is consistently effective for the lesson context.</w:t>
            </w:r>
          </w:p>
        </w:tc>
        <w:tc>
          <w:tcPr>
            <w:tcW w:type="dxa" w:w="2160"/>
          </w:tcPr>
          <w:p>
            <w:r>
              <w:rPr>
                <w:sz w:val="14"/>
              </w:rPr>
              <w:t>Practice is highly effective, responsive and worth sharing.</w:t>
            </w:r>
          </w:p>
        </w:tc>
        <w:tc>
          <w:tcPr>
            <w:tcW w:type="dxa" w:w="2160"/>
          </w:tcPr>
          <w:p>
            <w:r>
              <w:rPr>
                <w:sz w:val="14"/>
              </w:rPr>
              <w:t>Do not force a rating when the element is not visible or applicable.</w:t>
            </w:r>
          </w:p>
        </w:tc>
      </w:tr>
    </w:tbl>
    <w:p/>
    <w:p>
      <w:pPr>
        <w:pStyle w:val="Heading1"/>
        <w:keepNext/>
      </w:pPr>
      <w:r>
        <w:t>Core CBSE observation dimensions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blHeader w:val="true"/>
          <w:cantSplit w:val="1"/>
        </w:trPr>
        <w:tc>
          <w:tcPr>
            <w:tcW w:type="dxa" w:w="2700"/>
            <w:shd w:fill="17324D"/>
            <w:vAlign w:val="center"/>
          </w:tcPr>
          <w:p>
            <w:r>
              <w:rPr>
                <w:b/>
                <w:color w:val="FFFFFF"/>
                <w:sz w:val="16"/>
              </w:rPr>
              <w:t>Observation dimension</w:t>
            </w:r>
          </w:p>
        </w:tc>
        <w:tc>
          <w:tcPr>
            <w:tcW w:type="dxa" w:w="2700"/>
            <w:shd w:fill="17324D"/>
            <w:vAlign w:val="center"/>
          </w:tcPr>
          <w:p>
            <w:r>
              <w:rPr>
                <w:b/>
                <w:color w:val="FFFFFF"/>
                <w:sz w:val="16"/>
              </w:rPr>
              <w:t>What to look for</w:t>
            </w:r>
          </w:p>
        </w:tc>
        <w:tc>
          <w:tcPr>
            <w:tcW w:type="dxa" w:w="2700"/>
            <w:shd w:fill="17324D"/>
            <w:vAlign w:val="center"/>
          </w:tcPr>
          <w:p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type="dxa" w:w="2700"/>
            <w:shd w:fill="17324D"/>
            <w:vAlign w:val="center"/>
          </w:tcPr>
          <w:p>
            <w:r>
              <w:rPr>
                <w:b/>
                <w:color w:val="FFFFFF"/>
                <w:sz w:val="16"/>
              </w:rPr>
              <w:t>Evidence / notes</w:t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Learning outcomes &amp; purpose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Expected learning is clear, age-appropriate and connected to what students should know, understand or be able to do.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Prior learning &amp; readiness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The teacher activates or checks relevant prior knowledge and responds to learner readiness.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Conceptual understanding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Teaching develops meaning and relationships between ideas rather than relying mainly on memorisation or copying.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Competency &amp; application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Students apply knowledge/skills through problems, situations, tasks, performance or authentic contexts.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Questioning &amp; higher-order thinking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Questions include reasoning, explanation, comparison, analysis, prediction, justification or creation where appropriate.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Experiential / active learning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Students learn through purposeful participation, investigation, practice, discussion, demonstration, experimentation or creation.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Explanation &amp; modelling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Explanations, worked examples, demonstrations and scaffolds are accurate, sequenced and responsive.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Student engagement &amp; agency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Students participate intellectually and have appropriate opportunities to think, contribute, make choices or take responsibility.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Differentiation &amp; inclusion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Support, extension, multilingual access and reasonable adjustments respond to learner need.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Assessment for learning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The teacher checks understanding during the lesson using questions, student work, observation, quizzes, exit responses or other evidence.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Feedback &amp; remediation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Feedback is specific enough to improve learning; misconceptions or gaps lead to correction, re-teaching or further practice.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Skills, values &amp; dispositions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Communication, collaboration, creativity, critical thinking, responsibility, values or life skills are developed authentically where relevant.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Resources &amp; technology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Texts, manipulatives, laboratory materials, visuals or digital tools are used purposefully rather than for display.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Classroom climate &amp; routines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Relationships, transitions, expectations and routines protect learning time, dignity, safety and participation.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Closure, reflection &amp; next step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The lesson consolidates key learning and makes the next step, practice or follow-up clear.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Student evidence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Student responses, products, solutions, performance or discussion show what has actually been learned.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</w:tbl>
    <w:p/>
    <w:p>
      <w:pPr>
        <w:pStyle w:val="Heading1"/>
      </w:pPr>
      <w:r>
        <w:t>Phase-specific adaptation — apply only what fits the class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cantSplit w:val="1"/>
        </w:trPr>
        <w:tc>
          <w:tcPr>
            <w:tcW w:type="dxa" w:w="3600"/>
            <w:shd w:fill="315B7D"/>
          </w:tcPr>
          <w:p>
            <w:r>
              <w:rPr>
                <w:b/>
                <w:color w:val="FFFFFF"/>
                <w:sz w:val="16"/>
              </w:rPr>
              <w:t>Stage</w:t>
            </w:r>
          </w:p>
        </w:tc>
        <w:tc>
          <w:tcPr>
            <w:tcW w:type="dxa" w:w="3600"/>
            <w:shd w:fill="315B7D"/>
          </w:tcPr>
          <w:p>
            <w:r>
              <w:rPr>
                <w:b/>
                <w:color w:val="FFFFFF"/>
                <w:sz w:val="16"/>
              </w:rPr>
              <w:t>Optional prompts</w:t>
            </w:r>
          </w:p>
        </w:tc>
        <w:tc>
          <w:tcPr>
            <w:tcW w:type="dxa" w:w="3600"/>
            <w:shd w:fill="315B7D"/>
          </w:tcPr>
          <w:p>
            <w:r>
              <w:rPr>
                <w:b/>
                <w:color w:val="FFFFFF"/>
                <w:sz w:val="16"/>
              </w:rPr>
              <w:t>Evidence / notes</w:t>
            </w:r>
          </w:p>
        </w:tc>
      </w:tr>
      <w:tr>
        <w:trPr>
          <w:cantSplit w:val="1"/>
        </w:trPr>
        <w:tc>
          <w:tcPr>
            <w:tcW w:type="dxa" w:w="3600"/>
            <w:shd w:fill="F4F7F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b/>
                <w:sz w:val="15"/>
              </w:rPr>
              <w:t>Foundational / Early Primary</w:t>
            </w:r>
          </w:p>
        </w:tc>
        <w:tc>
          <w:tcPr>
            <w:tcW w:type="dxa" w:w="3600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sz w:val="15"/>
              </w:rPr>
              <w:t>Play, talk, stories, movement, manipulatives, routines, language development, observation-based assessment, developmentally appropriate pacing.</w:t>
            </w:r>
          </w:p>
        </w:tc>
        <w:tc>
          <w:tcPr>
            <w:tcW w:type="dxa" w:w="3600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shd w:fill="F4F7F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b/>
                <w:sz w:val="15"/>
              </w:rPr>
              <w:t>Primary</w:t>
            </w:r>
          </w:p>
        </w:tc>
        <w:tc>
          <w:tcPr>
            <w:tcW w:type="dxa" w:w="3600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sz w:val="15"/>
              </w:rPr>
              <w:t>Concept building, reading/numeracy foundations, hands-on learning, discussion, independent practice, curiosity and feedback.</w:t>
            </w:r>
          </w:p>
        </w:tc>
        <w:tc>
          <w:tcPr>
            <w:tcW w:type="dxa" w:w="3600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shd w:fill="F4F7F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b/>
                <w:sz w:val="15"/>
              </w:rPr>
              <w:t>Middle</w:t>
            </w:r>
          </w:p>
        </w:tc>
        <w:tc>
          <w:tcPr>
            <w:tcW w:type="dxa" w:w="3600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sz w:val="15"/>
              </w:rPr>
              <w:t>Application, interdisciplinary connections, experiments/projects, reasoning, collaboration, structured independence and study habits.</w:t>
            </w:r>
          </w:p>
        </w:tc>
        <w:tc>
          <w:tcPr>
            <w:tcW w:type="dxa" w:w="3600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shd w:fill="F4F7F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b/>
                <w:sz w:val="15"/>
              </w:rPr>
              <w:t>Secondary / Senior Secondary</w:t>
            </w:r>
          </w:p>
        </w:tc>
        <w:tc>
          <w:tcPr>
            <w:tcW w:type="dxa" w:w="3600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sz w:val="15"/>
              </w:rPr>
              <w:t>Disciplinary depth, board-exam readiness without reducing learning to test rehearsal, application, analytical reasoning, practical work, academic independence.</w:t>
            </w:r>
          </w:p>
        </w:tc>
        <w:tc>
          <w:tcPr>
            <w:tcW w:type="dxa" w:w="3600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</w:tbl>
    <w:p/>
    <w:p>
      <w:pPr>
        <w:pStyle w:val="Heading1"/>
      </w:pPr>
      <w:r>
        <w:t>Subject-specific adaptation prompts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blHeader w:val="true"/>
          <w:cantSplit w:val="1"/>
        </w:trPr>
        <w:tc>
          <w:tcPr>
            <w:tcW w:type="dxa" w:w="3600"/>
            <w:shd w:fill="315B7D"/>
          </w:tcPr>
          <w:p>
            <w:r>
              <w:rPr>
                <w:b/>
                <w:color w:val="FFFFFF"/>
                <w:sz w:val="16"/>
              </w:rPr>
              <w:t>Subject / phase lens</w:t>
            </w:r>
          </w:p>
        </w:tc>
        <w:tc>
          <w:tcPr>
            <w:tcW w:type="dxa" w:w="3600"/>
            <w:shd w:fill="315B7D"/>
          </w:tcPr>
          <w:p>
            <w:r>
              <w:rPr>
                <w:b/>
                <w:color w:val="FFFFFF"/>
                <w:sz w:val="16"/>
              </w:rPr>
              <w:t>Optional evidence prompts</w:t>
            </w:r>
          </w:p>
        </w:tc>
        <w:tc>
          <w:tcPr>
            <w:tcW w:type="dxa" w:w="3600"/>
            <w:shd w:fill="315B7D"/>
          </w:tcPr>
          <w:p>
            <w:r>
              <w:rPr>
                <w:b/>
                <w:color w:val="FFFFFF"/>
                <w:sz w:val="16"/>
              </w:rPr>
              <w:t>Notes</w:t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Languages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Comprehension and communication; reading/writing/speaking/listening; grammar in context; authentic texts; language support.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Mathematics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Conceptual understanding, reasoning, representations, problem solving, multiple strategies, error analysis, application.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Science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Observation, hypothesis/prediction, experimentation, evidence, scientific reasoning, practical safety, data interpretation.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Social Science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Sources, maps/data, chronology/context, perspective, evidence-based explanation, connection to contemporary/local contexts.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Commerce / Economics / Business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Application to real situations, data/case analysis, reasoning, decision-making, interpretation of concepts.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Computer Science / AI / ICT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Problem solving, computational thinking, coding/design, creation, debugging, responsible technology use.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Art / Music / Performing Arts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Process, technique, creativity, performance, critique, reflection and development over time.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Physical Education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Skill progression, participation, safety, teamwork, fitness/wellbeing understanding and reflection.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Skill / Vocational Subjects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Performance standards, authentic tasks, safety, tools/processes, application and evidence of competence.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</w:tbl>
    <w:p/>
    <w:p>
      <w:pPr>
        <w:pStyle w:val="Heading1"/>
      </w:pPr>
      <w:r>
        <w:t>Observation summary and professional dialogue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cantSplit w:val="1"/>
        </w:trPr>
        <w:tc>
          <w:tcPr>
            <w:tcW w:type="dxa" w:w="5400"/>
            <w:shd w:fill="17324D"/>
          </w:tcPr>
          <w:p>
            <w:r>
              <w:rPr>
                <w:b/>
                <w:color w:val="FFFFFF"/>
                <w:sz w:val="16"/>
              </w:rPr>
              <w:t>Prompt</w:t>
            </w:r>
          </w:p>
        </w:tc>
        <w:tc>
          <w:tcPr>
            <w:tcW w:type="dxa" w:w="5400"/>
            <w:shd w:fill="17324D"/>
          </w:tcPr>
          <w:p>
            <w:r>
              <w:rPr>
                <w:b/>
                <w:color w:val="FFFFFF"/>
                <w:sz w:val="16"/>
              </w:rPr>
              <w:t>Record</w:t>
            </w:r>
          </w:p>
        </w:tc>
      </w:tr>
      <w:tr>
        <w:trPr>
          <w:cantSplit w:val="1"/>
        </w:trPr>
        <w:tc>
          <w:tcPr>
            <w:tcW w:type="dxa" w:w="5400"/>
            <w:shd w:fill="F4F7F9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b/>
                <w:sz w:val="15"/>
              </w:rPr>
              <w:t>Strongest evidence of student learning</w:t>
              <w:br/>
              <w:t>What did students say, do, create, solve, explain or demonstrate?</w:t>
            </w:r>
          </w:p>
        </w:tc>
        <w:tc>
          <w:tcPr>
            <w:tcW w:type="dxa" w:w="5400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br/>
              <w:br/>
            </w:r>
          </w:p>
        </w:tc>
      </w:tr>
      <w:tr>
        <w:trPr>
          <w:cantSplit w:val="1"/>
        </w:trPr>
        <w:tc>
          <w:tcPr>
            <w:tcW w:type="dxa" w:w="5400"/>
            <w:shd w:fill="F4F7F9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b/>
                <w:sz w:val="15"/>
              </w:rPr>
              <w:t>Effective practice to retain</w:t>
              <w:br/>
              <w:t>Identify one or two practices that should continue.</w:t>
            </w:r>
          </w:p>
        </w:tc>
        <w:tc>
          <w:tcPr>
            <w:tcW w:type="dxa" w:w="5400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br/>
              <w:br/>
            </w:r>
          </w:p>
        </w:tc>
      </w:tr>
      <w:tr>
        <w:trPr>
          <w:cantSplit w:val="1"/>
        </w:trPr>
        <w:tc>
          <w:tcPr>
            <w:tcW w:type="dxa" w:w="5400"/>
            <w:shd w:fill="F4F7F9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b/>
                <w:sz w:val="15"/>
              </w:rPr>
              <w:t>Priority next step</w:t>
              <w:br/>
              <w:t>Choose one manageable improvement rather than a long list.</w:t>
            </w:r>
          </w:p>
        </w:tc>
        <w:tc>
          <w:tcPr>
            <w:tcW w:type="dxa" w:w="5400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br/>
              <w:br/>
            </w:r>
          </w:p>
        </w:tc>
      </w:tr>
      <w:tr>
        <w:trPr>
          <w:cantSplit w:val="1"/>
        </w:trPr>
        <w:tc>
          <w:tcPr>
            <w:tcW w:type="dxa" w:w="5400"/>
            <w:shd w:fill="F4F7F9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b/>
                <w:sz w:val="15"/>
              </w:rPr>
              <w:t>Support / coaching required</w:t>
              <w:br/>
              <w:t>Resources, modelling, co-planning, peer observation or professional learning.</w:t>
            </w:r>
          </w:p>
        </w:tc>
        <w:tc>
          <w:tcPr>
            <w:tcW w:type="dxa" w:w="5400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br/>
              <w:br/>
            </w:r>
          </w:p>
        </w:tc>
      </w:tr>
      <w:tr>
        <w:trPr>
          <w:cantSplit w:val="1"/>
        </w:trPr>
        <w:tc>
          <w:tcPr>
            <w:tcW w:type="dxa" w:w="5400"/>
            <w:shd w:fill="F4F7F9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b/>
                <w:sz w:val="15"/>
              </w:rPr>
              <w:t>Teacher reflection</w:t>
              <w:br/>
              <w:t>What did the teacher feel worked? What would they change?</w:t>
            </w:r>
          </w:p>
        </w:tc>
        <w:tc>
          <w:tcPr>
            <w:tcW w:type="dxa" w:w="5400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br/>
              <w:br/>
            </w:r>
          </w:p>
        </w:tc>
      </w:tr>
      <w:tr>
        <w:trPr>
          <w:cantSplit w:val="1"/>
        </w:trPr>
        <w:tc>
          <w:tcPr>
            <w:tcW w:type="dxa" w:w="5400"/>
            <w:shd w:fill="F4F7F9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b/>
                <w:sz w:val="15"/>
              </w:rPr>
              <w:t>Follow-up evidence</w:t>
              <w:br/>
              <w:t>What will be revisited, by when, and what evidence will indicate progress?</w:t>
            </w:r>
          </w:p>
        </w:tc>
        <w:tc>
          <w:tcPr>
            <w:tcW w:type="dxa" w:w="5400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br/>
              <w:br/>
            </w:r>
          </w:p>
        </w:tc>
      </w:tr>
    </w:tbl>
    <w:p/>
    <w:p>
      <w:r>
        <w:rPr>
          <w:b/>
        </w:rPr>
        <w:t xml:space="preserve">Overall professional judgement: </w:t>
      </w:r>
      <w:r>
        <w:rPr>
          <w:sz w:val="18"/>
        </w:rPr>
        <w:t>☐ Immediate support</w:t>
      </w:r>
      <w:r>
        <w:rPr>
          <w:sz w:val="18"/>
        </w:rPr>
        <w:t xml:space="preserve">   ☐ Developing</w:t>
      </w:r>
      <w:r>
        <w:rPr>
          <w:sz w:val="18"/>
        </w:rPr>
        <w:t xml:space="preserve">   ☐ Secure</w:t>
      </w:r>
      <w:r>
        <w:rPr>
          <w:sz w:val="18"/>
        </w:rPr>
        <w:t xml:space="preserve">   ☐ Strong</w:t>
      </w:r>
      <w:r>
        <w:rPr>
          <w:sz w:val="18"/>
        </w:rPr>
        <w:t xml:space="preserve">   ☐ Not rated</w:t>
      </w:r>
    </w:p>
    <w:p>
      <w:r>
        <w:rPr>
          <w:sz w:val="17"/>
        </w:rPr>
        <w:t>Follow-up date: ____________________     Teacher signature: ____________________     Observer signature: ____________________</w:t>
      </w:r>
    </w:p>
    <w:p/>
    <w:p>
      <w:r>
        <w:rPr>
          <w:b/>
          <w:color w:val="5A5A5A"/>
          <w:sz w:val="15"/>
        </w:rPr>
        <w:t xml:space="preserve">Use note: </w:t>
      </w:r>
      <w:r>
        <w:rPr>
          <w:color w:val="5A5A5A"/>
          <w:sz w:val="15"/>
        </w:rPr>
        <w:t>This form is designed for developmental observation and evidence-led professional dialogue. It should be adapted to the school’s policy, programme requirements and local employment/appraisal procedures. A single observed lesson should not be treated as a complete judgement of teacher effectiveness.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4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5"/>
      </w:rPr>
      <w:t>CBSE Lesson Observation Form  •  Evidence before judgement  •  dranupsharma.com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5A5A5A"/>
        <w:sz w:val="15"/>
      </w:rPr>
      <w:t>DR ANUP SHARMA • TEACHER DEVELOPMENT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315B7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24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