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Bullying Response SOP</w:t>
      </w:r>
    </w:p>
    <w:p>
      <w:r>
        <w:rPr>
          <w:b/>
          <w:sz w:val="22"/>
        </w:rPr>
        <w:t>Reporting, immediate protection, investigation, action and follow-up procedure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respond consistently to reported bullying while protecting students, preserving procedural fairness and addressing repeated harmful behaviour.</w:t>
      </w:r>
    </w:p>
    <w:p>
      <w:pPr>
        <w:pStyle w:val="Heading1"/>
      </w:pPr>
      <w:r>
        <w:t>Scope</w:t>
      </w:r>
    </w:p>
    <w:p>
      <w:r>
        <w:t>Applies to in-person and school-related online conduct involving students.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Any staff member receiving a concern records and reports it.</w:t>
      </w:r>
    </w:p>
    <w:p>
      <w:pPr>
        <w:pStyle w:val="ListBullet"/>
      </w:pPr>
      <w:r>
        <w:t>Designated leader assesses immediate safety.</w:t>
      </w:r>
    </w:p>
    <w:p>
      <w:pPr>
        <w:pStyle w:val="ListBullet"/>
      </w:pPr>
      <w:r>
        <w:t>Assigned investigator gathers information.</w:t>
      </w:r>
    </w:p>
    <w:p>
      <w:pPr>
        <w:pStyle w:val="ListBullet"/>
      </w:pPr>
      <w:r>
        <w:t>School leadership decides action under policy.</w:t>
      </w:r>
    </w:p>
    <w:p>
      <w:pPr>
        <w:pStyle w:val="Heading1"/>
      </w:pPr>
      <w:r>
        <w:t>Response Sequence</w:t>
      </w:r>
    </w:p>
    <w:p>
      <w:pPr>
        <w:pStyle w:val="ListNumber"/>
      </w:pPr>
      <w:r>
        <w:t>Listen without dismissing, blaming or promising a predetermined outcome.</w:t>
      </w:r>
    </w:p>
    <w:p>
      <w:pPr>
        <w:pStyle w:val="ListNumber"/>
      </w:pPr>
      <w:r>
        <w:t>Assess immediate risk and take reasonable protective steps.</w:t>
      </w:r>
    </w:p>
    <w:p>
      <w:pPr>
        <w:pStyle w:val="ListNumber"/>
      </w:pPr>
      <w:r>
        <w:t>Record the concern in the student's own words where possible.</w:t>
      </w:r>
    </w:p>
    <w:p>
      <w:pPr>
        <w:pStyle w:val="ListNumber"/>
      </w:pPr>
      <w:r>
        <w:t>Gather relevant accounts and available evidence separately.</w:t>
      </w:r>
    </w:p>
    <w:p>
      <w:pPr>
        <w:pStyle w:val="ListNumber"/>
      </w:pPr>
      <w:r>
        <w:t>Inform parents/guardians according to safeguarding and school policy.</w:t>
      </w:r>
    </w:p>
    <w:p>
      <w:pPr>
        <w:pStyle w:val="ListNumber"/>
      </w:pPr>
      <w:r>
        <w:t>Determine findings and proportionate action.</w:t>
      </w:r>
    </w:p>
    <w:p>
      <w:pPr>
        <w:pStyle w:val="ListNumber"/>
      </w:pPr>
      <w:r>
        <w:t>Provide support for affected students.</w:t>
      </w:r>
    </w:p>
    <w:p>
      <w:pPr>
        <w:pStyle w:val="ListNumber"/>
      </w:pPr>
      <w:r>
        <w:t>Set a follow-up date to check whether the behaviour has stopped.</w:t>
      </w:r>
    </w:p>
    <w:p>
      <w:pPr>
        <w:pStyle w:val="Heading1"/>
      </w:pPr>
      <w:r>
        <w:t>Controls</w:t>
      </w:r>
    </w:p>
    <w:p>
      <w:pPr>
        <w:pStyle w:val="ListBullet"/>
      </w:pPr>
      <w:r>
        <w:t>Distinguish conflict, unkind behaviour and bullying based on evidence and school definitions.</w:t>
      </w:r>
    </w:p>
    <w:p>
      <w:pPr>
        <w:pStyle w:val="ListBullet"/>
      </w:pPr>
      <w:r>
        <w:t>Do not force face-to-face reconciliation where it may increase harm.</w:t>
      </w:r>
    </w:p>
    <w:p>
      <w:pPr>
        <w:pStyle w:val="ListBullet"/>
      </w:pPr>
      <w:r>
        <w:t>Safeguarding concerns override the normal bullying process.</w:t>
      </w:r>
    </w:p>
    <w:p>
      <w:pPr>
        <w:pStyle w:val="Heading1"/>
      </w:pPr>
      <w:r>
        <w:t>Records</w:t>
      </w:r>
    </w:p>
    <w:p>
      <w:pPr>
        <w:pStyle w:val="ListBullet"/>
      </w:pPr>
      <w:r>
        <w:t>Bullying concern form</w:t>
      </w:r>
    </w:p>
    <w:p>
      <w:pPr>
        <w:pStyle w:val="ListBullet"/>
      </w:pPr>
      <w:r>
        <w:t>Investigation notes</w:t>
      </w:r>
    </w:p>
    <w:p>
      <w:pPr>
        <w:pStyle w:val="ListBullet"/>
      </w:pPr>
      <w:r>
        <w:t>Parent communication log</w:t>
      </w:r>
    </w:p>
    <w:p>
      <w:pPr>
        <w:pStyle w:val="ListBullet"/>
      </w:pPr>
      <w:r>
        <w:t>Action and follow-up record</w:t>
      </w:r>
    </w:p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